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000" w:type="dxa"/>
        <w:tblCellSpacing w:w="60" w:type="dxa"/>
        <w:tblInd w:w="130" w:type="dxa"/>
        <w:tblBorders>
          <w:top w:val="nil"/>
          <w:left w:val="nil"/>
          <w:bottom w:val="nil"/>
          <w:right w:val="nil"/>
          <w:insideH w:val="nil"/>
          <w:insideV w:val="nil"/>
        </w:tblBorders>
        <w:shd w:val="clear" w:color="auto" w:fill="E7F0F9"/>
        <w:tblCellMar>
          <w:left w:w="10" w:type="dxa"/>
          <w:right w:w="10" w:type="dxa"/>
        </w:tblCellMar>
        <w:tblLook w:val="04A0" w:firstRow="1" w:lastRow="0" w:firstColumn="1" w:lastColumn="0" w:noHBand="0" w:noVBand="1"/>
      </w:tblPr>
      <w:tblGrid>
        <w:gridCol w:w="2254"/>
        <w:gridCol w:w="6746"/>
      </w:tblGrid>
      <w:tr w:rsidR="008E0448" w14:paraId="132052B5" w14:textId="77777777">
        <w:tblPrEx>
          <w:tblCellMar>
            <w:top w:w="0" w:type="dxa"/>
            <w:bottom w:w="0" w:type="dxa"/>
          </w:tblCellMar>
        </w:tblPrEx>
        <w:trPr>
          <w:tblCellSpacing w:w="60" w:type="dxa"/>
        </w:trPr>
        <w:tc>
          <w:tcPr>
            <w:tcW w:w="1200" w:type="pct"/>
            <w:shd w:val="clear" w:color="auto" w:fill="E7F0F9"/>
          </w:tcPr>
          <w:p w14:paraId="529A2F58" w14:textId="77777777" w:rsidR="008E0448" w:rsidRDefault="00FF3140">
            <w:r>
              <w:rPr>
                <w:b/>
              </w:rPr>
              <w:t>RKP broj</w:t>
            </w:r>
          </w:p>
        </w:tc>
        <w:tc>
          <w:tcPr>
            <w:tcW w:w="0" w:type="auto"/>
            <w:shd w:val="clear" w:color="auto" w:fill="E7F0F9"/>
          </w:tcPr>
          <w:p w14:paraId="0017262E" w14:textId="77777777" w:rsidR="008E0448" w:rsidRDefault="00FF3140">
            <w:r>
              <w:t>8738</w:t>
            </w:r>
          </w:p>
        </w:tc>
      </w:tr>
      <w:tr w:rsidR="008E0448" w14:paraId="27BF263B" w14:textId="77777777">
        <w:tblPrEx>
          <w:tblCellMar>
            <w:top w:w="0" w:type="dxa"/>
            <w:bottom w:w="0" w:type="dxa"/>
          </w:tblCellMar>
        </w:tblPrEx>
        <w:trPr>
          <w:tblCellSpacing w:w="60" w:type="dxa"/>
        </w:trPr>
        <w:tc>
          <w:tcPr>
            <w:tcW w:w="1200" w:type="pct"/>
            <w:shd w:val="clear" w:color="auto" w:fill="E7F0F9"/>
          </w:tcPr>
          <w:p w14:paraId="5A11B2BC" w14:textId="77777777" w:rsidR="008E0448" w:rsidRDefault="00FF3140">
            <w:r>
              <w:rPr>
                <w:b/>
              </w:rPr>
              <w:t>Naziv obveznika</w:t>
            </w:r>
          </w:p>
        </w:tc>
        <w:tc>
          <w:tcPr>
            <w:tcW w:w="0" w:type="auto"/>
            <w:shd w:val="clear" w:color="auto" w:fill="E7F0F9"/>
          </w:tcPr>
          <w:p w14:paraId="7402BAA4" w14:textId="77777777" w:rsidR="008E0448" w:rsidRDefault="00FF3140">
            <w:r>
              <w:t>OSNOVNA ŠKOLA DR. JURE TURIĆA</w:t>
            </w:r>
          </w:p>
        </w:tc>
      </w:tr>
      <w:tr w:rsidR="008E0448" w14:paraId="7855839C" w14:textId="77777777">
        <w:tblPrEx>
          <w:tblCellMar>
            <w:top w:w="0" w:type="dxa"/>
            <w:bottom w:w="0" w:type="dxa"/>
          </w:tblCellMar>
        </w:tblPrEx>
        <w:trPr>
          <w:tblCellSpacing w:w="60" w:type="dxa"/>
        </w:trPr>
        <w:tc>
          <w:tcPr>
            <w:tcW w:w="1200" w:type="pct"/>
            <w:shd w:val="clear" w:color="auto" w:fill="E7F0F9"/>
          </w:tcPr>
          <w:p w14:paraId="6B2A7AA0" w14:textId="77777777" w:rsidR="008E0448" w:rsidRDefault="00FF3140">
            <w:r>
              <w:rPr>
                <w:b/>
              </w:rPr>
              <w:t>Razina</w:t>
            </w:r>
          </w:p>
        </w:tc>
        <w:tc>
          <w:tcPr>
            <w:tcW w:w="0" w:type="auto"/>
            <w:shd w:val="clear" w:color="auto" w:fill="E7F0F9"/>
          </w:tcPr>
          <w:p w14:paraId="57AF3A1E" w14:textId="77777777" w:rsidR="008E0448" w:rsidRDefault="00FF3140">
            <w:r>
              <w:t>31</w:t>
            </w:r>
          </w:p>
        </w:tc>
      </w:tr>
    </w:tbl>
    <w:p w14:paraId="03A6FB66" w14:textId="77777777" w:rsidR="008E0448" w:rsidRDefault="00FF3140">
      <w:r>
        <w:br/>
      </w:r>
    </w:p>
    <w:p w14:paraId="3807381F" w14:textId="77777777" w:rsidR="008E0448" w:rsidRDefault="00FF3140">
      <w:pPr>
        <w:jc w:val="center"/>
      </w:pPr>
      <w:r>
        <w:rPr>
          <w:b/>
          <w:sz w:val="28"/>
        </w:rPr>
        <w:t>BILJEŠKE UZ FINANCIJSKE IZVJEŠTAJE</w:t>
      </w:r>
    </w:p>
    <w:p w14:paraId="0800BC5B" w14:textId="77777777" w:rsidR="008E0448" w:rsidRDefault="00FF3140">
      <w:pPr>
        <w:jc w:val="center"/>
      </w:pPr>
      <w:r>
        <w:rPr>
          <w:b/>
          <w:sz w:val="28"/>
        </w:rPr>
        <w:t>ZA RAZDOBLJE</w:t>
      </w:r>
    </w:p>
    <w:p w14:paraId="1F46A04A" w14:textId="77777777" w:rsidR="008E0448" w:rsidRDefault="00FF3140">
      <w:pPr>
        <w:jc w:val="center"/>
      </w:pPr>
      <w:r>
        <w:rPr>
          <w:b/>
          <w:sz w:val="28"/>
        </w:rPr>
        <w:t>I - VI 2026.</w:t>
      </w:r>
    </w:p>
    <w:p w14:paraId="737FF751" w14:textId="77777777" w:rsidR="008E0448" w:rsidRDefault="008E0448"/>
    <w:p w14:paraId="0F3FE6B9" w14:textId="77777777" w:rsidR="008E0448" w:rsidRDefault="00FF3140">
      <w:pPr>
        <w:keepNext/>
        <w:jc w:val="center"/>
      </w:pPr>
      <w:r>
        <w:rPr>
          <w:b/>
          <w:sz w:val="28"/>
        </w:rPr>
        <w:t>Izvještaj o prihodima i rashodima, primicima i izdacima</w:t>
      </w:r>
    </w:p>
    <w:p w14:paraId="21830A45" w14:textId="77777777" w:rsidR="008E0448" w:rsidRDefault="00FF3140">
      <w:pPr>
        <w:keepNext/>
        <w:jc w:val="center"/>
      </w:pPr>
      <w:r>
        <w:rPr>
          <w:sz w:val="28"/>
        </w:rPr>
        <w:t>Bilješka 1.</w:t>
      </w:r>
    </w:p>
    <w:tbl>
      <w:tblPr>
        <w:tblW w:w="0" w:type="auto"/>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60473EC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2DC259"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65859C88"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51D30331"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272E5D52"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38BEE98F"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F12D377" w14:textId="77777777" w:rsidR="008E0448" w:rsidRDefault="00FF3140">
            <w:pPr>
              <w:keepNext/>
              <w:keepLines/>
              <w:jc w:val="center"/>
            </w:pPr>
            <w:r>
              <w:rPr>
                <w:b/>
                <w:sz w:val="18"/>
              </w:rPr>
              <w:t>Indeks (%)</w:t>
            </w:r>
          </w:p>
        </w:tc>
      </w:tr>
      <w:tr w:rsidR="008E0448" w14:paraId="7E4EB7CC" w14:textId="77777777">
        <w:tblPrEx>
          <w:tblCellMar>
            <w:top w:w="0" w:type="dxa"/>
            <w:bottom w:w="0" w:type="dxa"/>
          </w:tblCellMar>
        </w:tblPrEx>
        <w:trPr>
          <w:cantSplit/>
          <w:trHeight w:val="560"/>
        </w:trPr>
        <w:tc>
          <w:tcPr>
            <w:tcW w:w="700" w:type="dxa"/>
            <w:tcMar>
              <w:top w:w="0" w:type="dxa"/>
              <w:bottom w:w="0" w:type="dxa"/>
            </w:tcMar>
            <w:vAlign w:val="center"/>
          </w:tcPr>
          <w:p w14:paraId="283FCA6F" w14:textId="77777777" w:rsidR="008E0448" w:rsidRDefault="00FF3140">
            <w:pPr>
              <w:keepNext/>
              <w:keepLines/>
            </w:pPr>
            <w:r>
              <w:rPr>
                <w:sz w:val="18"/>
              </w:rPr>
              <w:t>6</w:t>
            </w:r>
          </w:p>
        </w:tc>
        <w:tc>
          <w:tcPr>
            <w:tcW w:w="3180" w:type="dxa"/>
            <w:tcMar>
              <w:top w:w="0" w:type="dxa"/>
              <w:bottom w:w="0" w:type="dxa"/>
            </w:tcMar>
            <w:vAlign w:val="center"/>
          </w:tcPr>
          <w:p w14:paraId="3245C703" w14:textId="77777777" w:rsidR="008E0448" w:rsidRDefault="00FF3140">
            <w:pPr>
              <w:keepNext/>
              <w:keepLines/>
            </w:pPr>
            <w:r>
              <w:rPr>
                <w:sz w:val="18"/>
              </w:rPr>
              <w:t>PRIHODI POSLOVANJA (šifre 61+62+63+64+65+66+67+68)</w:t>
            </w:r>
          </w:p>
        </w:tc>
        <w:tc>
          <w:tcPr>
            <w:tcW w:w="700" w:type="dxa"/>
            <w:tcMar>
              <w:top w:w="0" w:type="dxa"/>
              <w:bottom w:w="0" w:type="dxa"/>
            </w:tcMar>
            <w:vAlign w:val="center"/>
          </w:tcPr>
          <w:p w14:paraId="39F08AE4" w14:textId="77777777" w:rsidR="008E0448" w:rsidRDefault="00FF3140">
            <w:pPr>
              <w:keepNext/>
              <w:keepLines/>
            </w:pPr>
            <w:r>
              <w:rPr>
                <w:sz w:val="18"/>
              </w:rPr>
              <w:t>6</w:t>
            </w:r>
          </w:p>
        </w:tc>
        <w:tc>
          <w:tcPr>
            <w:tcW w:w="1860" w:type="dxa"/>
            <w:tcMar>
              <w:top w:w="0" w:type="dxa"/>
              <w:bottom w:w="0" w:type="dxa"/>
            </w:tcMar>
            <w:vAlign w:val="center"/>
          </w:tcPr>
          <w:p w14:paraId="5C0D2DA2" w14:textId="77777777" w:rsidR="008E0448" w:rsidRDefault="00FF3140">
            <w:pPr>
              <w:keepNext/>
              <w:keepLines/>
              <w:jc w:val="right"/>
            </w:pPr>
            <w:r>
              <w:rPr>
                <w:sz w:val="18"/>
              </w:rPr>
              <w:t>1.906.213,15</w:t>
            </w:r>
          </w:p>
        </w:tc>
        <w:tc>
          <w:tcPr>
            <w:tcW w:w="1860" w:type="dxa"/>
            <w:tcMar>
              <w:top w:w="0" w:type="dxa"/>
              <w:bottom w:w="0" w:type="dxa"/>
            </w:tcMar>
            <w:vAlign w:val="center"/>
          </w:tcPr>
          <w:p w14:paraId="009C93C5" w14:textId="77777777" w:rsidR="008E0448" w:rsidRDefault="00FF3140">
            <w:pPr>
              <w:keepNext/>
              <w:keepLines/>
              <w:jc w:val="right"/>
            </w:pPr>
            <w:r>
              <w:rPr>
                <w:sz w:val="18"/>
              </w:rPr>
              <w:t>2.194.970,72</w:t>
            </w:r>
          </w:p>
        </w:tc>
        <w:tc>
          <w:tcPr>
            <w:tcW w:w="700" w:type="dxa"/>
            <w:tcMar>
              <w:top w:w="0" w:type="dxa"/>
              <w:bottom w:w="0" w:type="dxa"/>
            </w:tcMar>
            <w:vAlign w:val="center"/>
          </w:tcPr>
          <w:p w14:paraId="11DD9FF8" w14:textId="77777777" w:rsidR="008E0448" w:rsidRDefault="00FF3140">
            <w:pPr>
              <w:keepNext/>
              <w:keepLines/>
              <w:jc w:val="right"/>
            </w:pPr>
            <w:r>
              <w:rPr>
                <w:sz w:val="18"/>
              </w:rPr>
              <w:t>115,1</w:t>
            </w:r>
          </w:p>
        </w:tc>
      </w:tr>
      <w:tr w:rsidR="008E0448" w14:paraId="7B1026B4" w14:textId="77777777">
        <w:tblPrEx>
          <w:tblCellMar>
            <w:top w:w="0" w:type="dxa"/>
            <w:bottom w:w="0" w:type="dxa"/>
          </w:tblCellMar>
        </w:tblPrEx>
        <w:trPr>
          <w:cantSplit/>
          <w:trHeight w:val="560"/>
        </w:trPr>
        <w:tc>
          <w:tcPr>
            <w:tcW w:w="700" w:type="dxa"/>
            <w:tcMar>
              <w:top w:w="0" w:type="dxa"/>
              <w:bottom w:w="0" w:type="dxa"/>
            </w:tcMar>
            <w:vAlign w:val="center"/>
          </w:tcPr>
          <w:p w14:paraId="2CEDF61F" w14:textId="77777777" w:rsidR="008E0448" w:rsidRDefault="00FF3140">
            <w:pPr>
              <w:keepNext/>
              <w:keepLines/>
            </w:pPr>
            <w:r>
              <w:rPr>
                <w:sz w:val="18"/>
              </w:rPr>
              <w:t>3</w:t>
            </w:r>
          </w:p>
        </w:tc>
        <w:tc>
          <w:tcPr>
            <w:tcW w:w="3180" w:type="dxa"/>
            <w:tcMar>
              <w:top w:w="0" w:type="dxa"/>
              <w:bottom w:w="0" w:type="dxa"/>
            </w:tcMar>
            <w:vAlign w:val="center"/>
          </w:tcPr>
          <w:p w14:paraId="4007DFCC" w14:textId="77777777" w:rsidR="008E0448" w:rsidRDefault="00FF3140">
            <w:pPr>
              <w:keepNext/>
              <w:keepLines/>
            </w:pPr>
            <w:r>
              <w:rPr>
                <w:sz w:val="18"/>
              </w:rPr>
              <w:t xml:space="preserve">RASHODI POSLOVANJA (šifre </w:t>
            </w:r>
            <w:r>
              <w:rPr>
                <w:sz w:val="18"/>
              </w:rPr>
              <w:t>31+32+34+35+36+37+38)</w:t>
            </w:r>
          </w:p>
        </w:tc>
        <w:tc>
          <w:tcPr>
            <w:tcW w:w="700" w:type="dxa"/>
            <w:tcMar>
              <w:top w:w="0" w:type="dxa"/>
              <w:bottom w:w="0" w:type="dxa"/>
            </w:tcMar>
            <w:vAlign w:val="center"/>
          </w:tcPr>
          <w:p w14:paraId="09217B77" w14:textId="77777777" w:rsidR="008E0448" w:rsidRDefault="00FF3140">
            <w:pPr>
              <w:keepNext/>
              <w:keepLines/>
            </w:pPr>
            <w:r>
              <w:rPr>
                <w:sz w:val="18"/>
              </w:rPr>
              <w:t>3</w:t>
            </w:r>
          </w:p>
        </w:tc>
        <w:tc>
          <w:tcPr>
            <w:tcW w:w="1860" w:type="dxa"/>
            <w:tcMar>
              <w:top w:w="0" w:type="dxa"/>
              <w:bottom w:w="0" w:type="dxa"/>
            </w:tcMar>
            <w:vAlign w:val="center"/>
          </w:tcPr>
          <w:p w14:paraId="648A3C5A" w14:textId="77777777" w:rsidR="008E0448" w:rsidRDefault="00FF3140">
            <w:pPr>
              <w:keepNext/>
              <w:keepLines/>
              <w:jc w:val="right"/>
            </w:pPr>
            <w:r>
              <w:rPr>
                <w:sz w:val="18"/>
              </w:rPr>
              <w:t>2.128.533,01</w:t>
            </w:r>
          </w:p>
        </w:tc>
        <w:tc>
          <w:tcPr>
            <w:tcW w:w="1860" w:type="dxa"/>
            <w:tcMar>
              <w:top w:w="0" w:type="dxa"/>
              <w:bottom w:w="0" w:type="dxa"/>
            </w:tcMar>
            <w:vAlign w:val="center"/>
          </w:tcPr>
          <w:p w14:paraId="263A2469" w14:textId="77777777" w:rsidR="008E0448" w:rsidRDefault="00FF3140">
            <w:pPr>
              <w:keepNext/>
              <w:keepLines/>
              <w:jc w:val="right"/>
            </w:pPr>
            <w:r>
              <w:rPr>
                <w:sz w:val="18"/>
              </w:rPr>
              <w:t>2.035.440,49</w:t>
            </w:r>
          </w:p>
        </w:tc>
        <w:tc>
          <w:tcPr>
            <w:tcW w:w="700" w:type="dxa"/>
            <w:tcMar>
              <w:top w:w="0" w:type="dxa"/>
              <w:bottom w:w="0" w:type="dxa"/>
            </w:tcMar>
            <w:vAlign w:val="center"/>
          </w:tcPr>
          <w:p w14:paraId="1F939036" w14:textId="77777777" w:rsidR="008E0448" w:rsidRDefault="00FF3140">
            <w:pPr>
              <w:keepNext/>
              <w:keepLines/>
              <w:jc w:val="right"/>
            </w:pPr>
            <w:r>
              <w:rPr>
                <w:sz w:val="18"/>
              </w:rPr>
              <w:t>95,6</w:t>
            </w:r>
          </w:p>
        </w:tc>
      </w:tr>
      <w:tr w:rsidR="008E0448" w14:paraId="0982C471" w14:textId="77777777">
        <w:tblPrEx>
          <w:tblCellMar>
            <w:top w:w="0" w:type="dxa"/>
            <w:bottom w:w="0" w:type="dxa"/>
          </w:tblCellMar>
        </w:tblPrEx>
        <w:trPr>
          <w:cantSplit/>
          <w:trHeight w:val="560"/>
        </w:trPr>
        <w:tc>
          <w:tcPr>
            <w:tcW w:w="700" w:type="dxa"/>
            <w:tcMar>
              <w:top w:w="0" w:type="dxa"/>
              <w:bottom w:w="0" w:type="dxa"/>
            </w:tcMar>
            <w:vAlign w:val="center"/>
          </w:tcPr>
          <w:p w14:paraId="35A9C559" w14:textId="77777777" w:rsidR="008E0448" w:rsidRDefault="008E0448">
            <w:pPr>
              <w:keepNext/>
              <w:keepLines/>
            </w:pPr>
          </w:p>
        </w:tc>
        <w:tc>
          <w:tcPr>
            <w:tcW w:w="3180" w:type="dxa"/>
            <w:tcMar>
              <w:top w:w="0" w:type="dxa"/>
              <w:bottom w:w="0" w:type="dxa"/>
            </w:tcMar>
            <w:vAlign w:val="center"/>
          </w:tcPr>
          <w:p w14:paraId="4D04A7D8" w14:textId="77777777" w:rsidR="008E0448" w:rsidRDefault="00FF3140">
            <w:pPr>
              <w:keepNext/>
              <w:keepLines/>
            </w:pPr>
            <w:r>
              <w:rPr>
                <w:b/>
                <w:sz w:val="18"/>
              </w:rPr>
              <w:t>VIŠAK PRIHODA POSLOVANJA (šifre 6-Z005)</w:t>
            </w:r>
          </w:p>
        </w:tc>
        <w:tc>
          <w:tcPr>
            <w:tcW w:w="700" w:type="dxa"/>
            <w:tcMar>
              <w:top w:w="0" w:type="dxa"/>
              <w:bottom w:w="0" w:type="dxa"/>
            </w:tcMar>
            <w:vAlign w:val="center"/>
          </w:tcPr>
          <w:p w14:paraId="46A7F25E" w14:textId="77777777" w:rsidR="008E0448" w:rsidRDefault="00FF3140">
            <w:pPr>
              <w:keepNext/>
              <w:keepLines/>
            </w:pPr>
            <w:r>
              <w:rPr>
                <w:b/>
                <w:sz w:val="18"/>
              </w:rPr>
              <w:t>X001</w:t>
            </w:r>
          </w:p>
        </w:tc>
        <w:tc>
          <w:tcPr>
            <w:tcW w:w="1860" w:type="dxa"/>
            <w:tcMar>
              <w:top w:w="0" w:type="dxa"/>
              <w:bottom w:w="0" w:type="dxa"/>
            </w:tcMar>
            <w:vAlign w:val="center"/>
          </w:tcPr>
          <w:p w14:paraId="3409E561" w14:textId="77777777" w:rsidR="008E0448" w:rsidRDefault="00FF3140">
            <w:pPr>
              <w:keepNext/>
              <w:keepLines/>
              <w:jc w:val="right"/>
            </w:pPr>
            <w:r>
              <w:rPr>
                <w:b/>
                <w:sz w:val="18"/>
              </w:rPr>
              <w:t>0,00</w:t>
            </w:r>
          </w:p>
        </w:tc>
        <w:tc>
          <w:tcPr>
            <w:tcW w:w="1860" w:type="dxa"/>
            <w:tcMar>
              <w:top w:w="0" w:type="dxa"/>
              <w:bottom w:w="0" w:type="dxa"/>
            </w:tcMar>
            <w:vAlign w:val="center"/>
          </w:tcPr>
          <w:p w14:paraId="7AB17CEC" w14:textId="77777777" w:rsidR="008E0448" w:rsidRDefault="00FF3140">
            <w:pPr>
              <w:keepNext/>
              <w:keepLines/>
              <w:jc w:val="right"/>
            </w:pPr>
            <w:r>
              <w:rPr>
                <w:b/>
                <w:sz w:val="18"/>
              </w:rPr>
              <w:t>159.530,23</w:t>
            </w:r>
          </w:p>
        </w:tc>
        <w:tc>
          <w:tcPr>
            <w:tcW w:w="700" w:type="dxa"/>
            <w:tcMar>
              <w:top w:w="0" w:type="dxa"/>
              <w:bottom w:w="0" w:type="dxa"/>
            </w:tcMar>
            <w:vAlign w:val="center"/>
          </w:tcPr>
          <w:p w14:paraId="06125CE7" w14:textId="77777777" w:rsidR="008E0448" w:rsidRDefault="00FF3140">
            <w:pPr>
              <w:keepNext/>
              <w:keepLines/>
              <w:jc w:val="right"/>
            </w:pPr>
            <w:r>
              <w:rPr>
                <w:b/>
                <w:sz w:val="18"/>
              </w:rPr>
              <w:t>-</w:t>
            </w:r>
          </w:p>
        </w:tc>
      </w:tr>
      <w:tr w:rsidR="008E0448" w14:paraId="6FFE37D4" w14:textId="77777777">
        <w:tblPrEx>
          <w:tblCellMar>
            <w:top w:w="0" w:type="dxa"/>
            <w:bottom w:w="0" w:type="dxa"/>
          </w:tblCellMar>
        </w:tblPrEx>
        <w:trPr>
          <w:cantSplit/>
          <w:trHeight w:val="560"/>
        </w:trPr>
        <w:tc>
          <w:tcPr>
            <w:tcW w:w="700" w:type="dxa"/>
            <w:tcMar>
              <w:top w:w="0" w:type="dxa"/>
              <w:bottom w:w="0" w:type="dxa"/>
            </w:tcMar>
            <w:vAlign w:val="center"/>
          </w:tcPr>
          <w:p w14:paraId="78B6D134" w14:textId="77777777" w:rsidR="008E0448" w:rsidRDefault="00FF3140">
            <w:pPr>
              <w:keepNext/>
              <w:keepLines/>
            </w:pPr>
            <w:r>
              <w:rPr>
                <w:sz w:val="18"/>
              </w:rPr>
              <w:t>7</w:t>
            </w:r>
          </w:p>
        </w:tc>
        <w:tc>
          <w:tcPr>
            <w:tcW w:w="3180" w:type="dxa"/>
            <w:tcMar>
              <w:top w:w="0" w:type="dxa"/>
              <w:bottom w:w="0" w:type="dxa"/>
            </w:tcMar>
            <w:vAlign w:val="center"/>
          </w:tcPr>
          <w:p w14:paraId="1884B3E6" w14:textId="77777777" w:rsidR="008E0448" w:rsidRDefault="00FF3140">
            <w:pPr>
              <w:keepNext/>
              <w:keepLines/>
            </w:pPr>
            <w:r>
              <w:rPr>
                <w:sz w:val="18"/>
              </w:rPr>
              <w:t>Prihodi od prodaje nefinancijske imovine (šifre 71+72+73+74)</w:t>
            </w:r>
          </w:p>
        </w:tc>
        <w:tc>
          <w:tcPr>
            <w:tcW w:w="700" w:type="dxa"/>
            <w:tcMar>
              <w:top w:w="0" w:type="dxa"/>
              <w:bottom w:w="0" w:type="dxa"/>
            </w:tcMar>
            <w:vAlign w:val="center"/>
          </w:tcPr>
          <w:p w14:paraId="35F649B5" w14:textId="77777777" w:rsidR="008E0448" w:rsidRDefault="00FF3140">
            <w:pPr>
              <w:keepNext/>
              <w:keepLines/>
            </w:pPr>
            <w:r>
              <w:rPr>
                <w:sz w:val="18"/>
              </w:rPr>
              <w:t>7</w:t>
            </w:r>
          </w:p>
        </w:tc>
        <w:tc>
          <w:tcPr>
            <w:tcW w:w="1860" w:type="dxa"/>
            <w:tcMar>
              <w:top w:w="0" w:type="dxa"/>
              <w:bottom w:w="0" w:type="dxa"/>
            </w:tcMar>
            <w:vAlign w:val="center"/>
          </w:tcPr>
          <w:p w14:paraId="447685B6" w14:textId="77777777" w:rsidR="008E0448" w:rsidRDefault="00FF3140">
            <w:pPr>
              <w:keepNext/>
              <w:keepLines/>
              <w:jc w:val="right"/>
            </w:pPr>
            <w:r>
              <w:rPr>
                <w:sz w:val="18"/>
              </w:rPr>
              <w:t>0,00</w:t>
            </w:r>
          </w:p>
        </w:tc>
        <w:tc>
          <w:tcPr>
            <w:tcW w:w="1860" w:type="dxa"/>
            <w:tcMar>
              <w:top w:w="0" w:type="dxa"/>
              <w:bottom w:w="0" w:type="dxa"/>
            </w:tcMar>
            <w:vAlign w:val="center"/>
          </w:tcPr>
          <w:p w14:paraId="11F4729C" w14:textId="77777777" w:rsidR="008E0448" w:rsidRDefault="00FF3140">
            <w:pPr>
              <w:keepNext/>
              <w:keepLines/>
              <w:jc w:val="right"/>
            </w:pPr>
            <w:r>
              <w:rPr>
                <w:sz w:val="18"/>
              </w:rPr>
              <w:t>0,00</w:t>
            </w:r>
          </w:p>
        </w:tc>
        <w:tc>
          <w:tcPr>
            <w:tcW w:w="700" w:type="dxa"/>
            <w:tcMar>
              <w:top w:w="0" w:type="dxa"/>
              <w:bottom w:w="0" w:type="dxa"/>
            </w:tcMar>
            <w:vAlign w:val="center"/>
          </w:tcPr>
          <w:p w14:paraId="69DD75D4" w14:textId="77777777" w:rsidR="008E0448" w:rsidRDefault="00FF3140">
            <w:pPr>
              <w:keepNext/>
              <w:keepLines/>
              <w:jc w:val="right"/>
            </w:pPr>
            <w:r>
              <w:rPr>
                <w:sz w:val="18"/>
              </w:rPr>
              <w:t>-</w:t>
            </w:r>
          </w:p>
        </w:tc>
      </w:tr>
      <w:tr w:rsidR="008E0448" w14:paraId="5A820CA6" w14:textId="77777777">
        <w:tblPrEx>
          <w:tblCellMar>
            <w:top w:w="0" w:type="dxa"/>
            <w:bottom w:w="0" w:type="dxa"/>
          </w:tblCellMar>
        </w:tblPrEx>
        <w:trPr>
          <w:cantSplit/>
          <w:trHeight w:val="560"/>
        </w:trPr>
        <w:tc>
          <w:tcPr>
            <w:tcW w:w="700" w:type="dxa"/>
            <w:tcMar>
              <w:top w:w="0" w:type="dxa"/>
              <w:bottom w:w="0" w:type="dxa"/>
            </w:tcMar>
            <w:vAlign w:val="center"/>
          </w:tcPr>
          <w:p w14:paraId="06B0BCDA" w14:textId="77777777" w:rsidR="008E0448" w:rsidRDefault="00FF3140">
            <w:pPr>
              <w:keepNext/>
              <w:keepLines/>
            </w:pPr>
            <w:r>
              <w:rPr>
                <w:sz w:val="18"/>
              </w:rPr>
              <w:t>4</w:t>
            </w:r>
          </w:p>
        </w:tc>
        <w:tc>
          <w:tcPr>
            <w:tcW w:w="3180" w:type="dxa"/>
            <w:tcMar>
              <w:top w:w="0" w:type="dxa"/>
              <w:bottom w:w="0" w:type="dxa"/>
            </w:tcMar>
            <w:vAlign w:val="center"/>
          </w:tcPr>
          <w:p w14:paraId="45499BFC" w14:textId="77777777" w:rsidR="008E0448" w:rsidRDefault="00FF3140">
            <w:pPr>
              <w:keepNext/>
              <w:keepLines/>
            </w:pPr>
            <w:r>
              <w:rPr>
                <w:sz w:val="18"/>
              </w:rPr>
              <w:t xml:space="preserve">Rashodi za nabavu nefinancijske imovine (šifre </w:t>
            </w:r>
            <w:r>
              <w:rPr>
                <w:sz w:val="18"/>
              </w:rPr>
              <w:t>41+42+43+44+45)</w:t>
            </w:r>
          </w:p>
        </w:tc>
        <w:tc>
          <w:tcPr>
            <w:tcW w:w="700" w:type="dxa"/>
            <w:tcMar>
              <w:top w:w="0" w:type="dxa"/>
              <w:bottom w:w="0" w:type="dxa"/>
            </w:tcMar>
            <w:vAlign w:val="center"/>
          </w:tcPr>
          <w:p w14:paraId="33F1F381" w14:textId="77777777" w:rsidR="008E0448" w:rsidRDefault="00FF3140">
            <w:pPr>
              <w:keepNext/>
              <w:keepLines/>
            </w:pPr>
            <w:r>
              <w:rPr>
                <w:sz w:val="18"/>
              </w:rPr>
              <w:t>4</w:t>
            </w:r>
          </w:p>
        </w:tc>
        <w:tc>
          <w:tcPr>
            <w:tcW w:w="1860" w:type="dxa"/>
            <w:tcMar>
              <w:top w:w="0" w:type="dxa"/>
              <w:bottom w:w="0" w:type="dxa"/>
            </w:tcMar>
            <w:vAlign w:val="center"/>
          </w:tcPr>
          <w:p w14:paraId="64177759" w14:textId="77777777" w:rsidR="008E0448" w:rsidRDefault="00FF3140">
            <w:pPr>
              <w:keepNext/>
              <w:keepLines/>
              <w:jc w:val="right"/>
            </w:pPr>
            <w:r>
              <w:rPr>
                <w:sz w:val="18"/>
              </w:rPr>
              <w:t>9.196,61</w:t>
            </w:r>
          </w:p>
        </w:tc>
        <w:tc>
          <w:tcPr>
            <w:tcW w:w="1860" w:type="dxa"/>
            <w:tcMar>
              <w:top w:w="0" w:type="dxa"/>
              <w:bottom w:w="0" w:type="dxa"/>
            </w:tcMar>
            <w:vAlign w:val="center"/>
          </w:tcPr>
          <w:p w14:paraId="734A8937" w14:textId="77777777" w:rsidR="008E0448" w:rsidRDefault="00FF3140">
            <w:pPr>
              <w:keepNext/>
              <w:keepLines/>
              <w:jc w:val="right"/>
            </w:pPr>
            <w:r>
              <w:rPr>
                <w:sz w:val="18"/>
              </w:rPr>
              <w:t>79.461,78</w:t>
            </w:r>
          </w:p>
        </w:tc>
        <w:tc>
          <w:tcPr>
            <w:tcW w:w="700" w:type="dxa"/>
            <w:tcMar>
              <w:top w:w="0" w:type="dxa"/>
              <w:bottom w:w="0" w:type="dxa"/>
            </w:tcMar>
            <w:vAlign w:val="center"/>
          </w:tcPr>
          <w:p w14:paraId="0D7EF4CD" w14:textId="77777777" w:rsidR="008E0448" w:rsidRDefault="00FF3140">
            <w:pPr>
              <w:keepNext/>
              <w:keepLines/>
              <w:jc w:val="right"/>
            </w:pPr>
            <w:r>
              <w:rPr>
                <w:sz w:val="18"/>
              </w:rPr>
              <w:t>864,0</w:t>
            </w:r>
          </w:p>
        </w:tc>
      </w:tr>
      <w:tr w:rsidR="008E0448" w14:paraId="675B8076" w14:textId="77777777">
        <w:tblPrEx>
          <w:tblCellMar>
            <w:top w:w="0" w:type="dxa"/>
            <w:bottom w:w="0" w:type="dxa"/>
          </w:tblCellMar>
        </w:tblPrEx>
        <w:trPr>
          <w:cantSplit/>
          <w:trHeight w:val="560"/>
        </w:trPr>
        <w:tc>
          <w:tcPr>
            <w:tcW w:w="700" w:type="dxa"/>
            <w:tcMar>
              <w:top w:w="0" w:type="dxa"/>
              <w:bottom w:w="0" w:type="dxa"/>
            </w:tcMar>
            <w:vAlign w:val="center"/>
          </w:tcPr>
          <w:p w14:paraId="4A2C34A4" w14:textId="77777777" w:rsidR="008E0448" w:rsidRDefault="008E0448">
            <w:pPr>
              <w:keepNext/>
              <w:keepLines/>
            </w:pPr>
          </w:p>
        </w:tc>
        <w:tc>
          <w:tcPr>
            <w:tcW w:w="3180" w:type="dxa"/>
            <w:tcMar>
              <w:top w:w="0" w:type="dxa"/>
              <w:bottom w:w="0" w:type="dxa"/>
            </w:tcMar>
            <w:vAlign w:val="center"/>
          </w:tcPr>
          <w:p w14:paraId="1CEC467B" w14:textId="77777777" w:rsidR="008E0448" w:rsidRDefault="00FF3140">
            <w:pPr>
              <w:keepNext/>
              <w:keepLines/>
            </w:pPr>
            <w:r>
              <w:rPr>
                <w:b/>
                <w:sz w:val="18"/>
              </w:rPr>
              <w:t>MANJAK PRIHODA OD NEFINANCIJSKE IMOVINE (šifre 4-7)</w:t>
            </w:r>
          </w:p>
        </w:tc>
        <w:tc>
          <w:tcPr>
            <w:tcW w:w="700" w:type="dxa"/>
            <w:tcMar>
              <w:top w:w="0" w:type="dxa"/>
              <w:bottom w:w="0" w:type="dxa"/>
            </w:tcMar>
            <w:vAlign w:val="center"/>
          </w:tcPr>
          <w:p w14:paraId="2F589A6D" w14:textId="77777777" w:rsidR="008E0448" w:rsidRDefault="00FF3140">
            <w:pPr>
              <w:keepNext/>
              <w:keepLines/>
            </w:pPr>
            <w:r>
              <w:rPr>
                <w:b/>
                <w:sz w:val="18"/>
              </w:rPr>
              <w:t>Y002</w:t>
            </w:r>
          </w:p>
        </w:tc>
        <w:tc>
          <w:tcPr>
            <w:tcW w:w="1860" w:type="dxa"/>
            <w:tcMar>
              <w:top w:w="0" w:type="dxa"/>
              <w:bottom w:w="0" w:type="dxa"/>
            </w:tcMar>
            <w:vAlign w:val="center"/>
          </w:tcPr>
          <w:p w14:paraId="752914D9" w14:textId="77777777" w:rsidR="008E0448" w:rsidRDefault="00FF3140">
            <w:pPr>
              <w:keepNext/>
              <w:keepLines/>
              <w:jc w:val="right"/>
            </w:pPr>
            <w:r>
              <w:rPr>
                <w:b/>
                <w:sz w:val="18"/>
              </w:rPr>
              <w:t>9.196,61</w:t>
            </w:r>
          </w:p>
        </w:tc>
        <w:tc>
          <w:tcPr>
            <w:tcW w:w="1860" w:type="dxa"/>
            <w:tcMar>
              <w:top w:w="0" w:type="dxa"/>
              <w:bottom w:w="0" w:type="dxa"/>
            </w:tcMar>
            <w:vAlign w:val="center"/>
          </w:tcPr>
          <w:p w14:paraId="4411AD16" w14:textId="77777777" w:rsidR="008E0448" w:rsidRDefault="00FF3140">
            <w:pPr>
              <w:keepNext/>
              <w:keepLines/>
              <w:jc w:val="right"/>
            </w:pPr>
            <w:r>
              <w:rPr>
                <w:b/>
                <w:sz w:val="18"/>
              </w:rPr>
              <w:t>79.461,78</w:t>
            </w:r>
          </w:p>
        </w:tc>
        <w:tc>
          <w:tcPr>
            <w:tcW w:w="700" w:type="dxa"/>
            <w:tcMar>
              <w:top w:w="0" w:type="dxa"/>
              <w:bottom w:w="0" w:type="dxa"/>
            </w:tcMar>
            <w:vAlign w:val="center"/>
          </w:tcPr>
          <w:p w14:paraId="752A0054" w14:textId="77777777" w:rsidR="008E0448" w:rsidRDefault="00FF3140">
            <w:pPr>
              <w:keepNext/>
              <w:keepLines/>
              <w:jc w:val="right"/>
            </w:pPr>
            <w:r>
              <w:rPr>
                <w:b/>
                <w:sz w:val="18"/>
              </w:rPr>
              <w:t>864,0</w:t>
            </w:r>
          </w:p>
        </w:tc>
      </w:tr>
      <w:tr w:rsidR="008E0448" w14:paraId="4CF034A5" w14:textId="77777777">
        <w:tblPrEx>
          <w:tblCellMar>
            <w:top w:w="0" w:type="dxa"/>
            <w:bottom w:w="0" w:type="dxa"/>
          </w:tblCellMar>
        </w:tblPrEx>
        <w:trPr>
          <w:cantSplit/>
          <w:trHeight w:val="560"/>
        </w:trPr>
        <w:tc>
          <w:tcPr>
            <w:tcW w:w="700" w:type="dxa"/>
            <w:tcMar>
              <w:top w:w="0" w:type="dxa"/>
              <w:bottom w:w="0" w:type="dxa"/>
            </w:tcMar>
            <w:vAlign w:val="center"/>
          </w:tcPr>
          <w:p w14:paraId="3C5C2913" w14:textId="77777777" w:rsidR="008E0448" w:rsidRDefault="00FF3140">
            <w:pPr>
              <w:keepNext/>
              <w:keepLines/>
            </w:pPr>
            <w:r>
              <w:rPr>
                <w:sz w:val="18"/>
              </w:rPr>
              <w:t>8</w:t>
            </w:r>
          </w:p>
        </w:tc>
        <w:tc>
          <w:tcPr>
            <w:tcW w:w="3180" w:type="dxa"/>
            <w:tcMar>
              <w:top w:w="0" w:type="dxa"/>
              <w:bottom w:w="0" w:type="dxa"/>
            </w:tcMar>
            <w:vAlign w:val="center"/>
          </w:tcPr>
          <w:p w14:paraId="36A0A18F" w14:textId="77777777" w:rsidR="008E0448" w:rsidRDefault="00FF3140">
            <w:pPr>
              <w:keepNext/>
              <w:keepLines/>
            </w:pPr>
            <w:r>
              <w:rPr>
                <w:sz w:val="18"/>
              </w:rPr>
              <w:t>Primici od financijske imovine i zaduživanja (šifre 81+82+83+84+85)</w:t>
            </w:r>
          </w:p>
        </w:tc>
        <w:tc>
          <w:tcPr>
            <w:tcW w:w="700" w:type="dxa"/>
            <w:tcMar>
              <w:top w:w="0" w:type="dxa"/>
              <w:bottom w:w="0" w:type="dxa"/>
            </w:tcMar>
            <w:vAlign w:val="center"/>
          </w:tcPr>
          <w:p w14:paraId="4B62B4C1" w14:textId="77777777" w:rsidR="008E0448" w:rsidRDefault="00FF3140">
            <w:pPr>
              <w:keepNext/>
              <w:keepLines/>
            </w:pPr>
            <w:r>
              <w:rPr>
                <w:sz w:val="18"/>
              </w:rPr>
              <w:t>8</w:t>
            </w:r>
          </w:p>
        </w:tc>
        <w:tc>
          <w:tcPr>
            <w:tcW w:w="1860" w:type="dxa"/>
            <w:tcMar>
              <w:top w:w="0" w:type="dxa"/>
              <w:bottom w:w="0" w:type="dxa"/>
            </w:tcMar>
            <w:vAlign w:val="center"/>
          </w:tcPr>
          <w:p w14:paraId="24BD26BB" w14:textId="77777777" w:rsidR="008E0448" w:rsidRDefault="00FF3140">
            <w:pPr>
              <w:keepNext/>
              <w:keepLines/>
              <w:jc w:val="right"/>
            </w:pPr>
            <w:r>
              <w:rPr>
                <w:sz w:val="18"/>
              </w:rPr>
              <w:t>0,00</w:t>
            </w:r>
          </w:p>
        </w:tc>
        <w:tc>
          <w:tcPr>
            <w:tcW w:w="1860" w:type="dxa"/>
            <w:tcMar>
              <w:top w:w="0" w:type="dxa"/>
              <w:bottom w:w="0" w:type="dxa"/>
            </w:tcMar>
            <w:vAlign w:val="center"/>
          </w:tcPr>
          <w:p w14:paraId="0783ACE1" w14:textId="77777777" w:rsidR="008E0448" w:rsidRDefault="00FF3140">
            <w:pPr>
              <w:keepNext/>
              <w:keepLines/>
              <w:jc w:val="right"/>
            </w:pPr>
            <w:r>
              <w:rPr>
                <w:sz w:val="18"/>
              </w:rPr>
              <w:t>0,00</w:t>
            </w:r>
          </w:p>
        </w:tc>
        <w:tc>
          <w:tcPr>
            <w:tcW w:w="700" w:type="dxa"/>
            <w:tcMar>
              <w:top w:w="0" w:type="dxa"/>
              <w:bottom w:w="0" w:type="dxa"/>
            </w:tcMar>
            <w:vAlign w:val="center"/>
          </w:tcPr>
          <w:p w14:paraId="618BD827" w14:textId="77777777" w:rsidR="008E0448" w:rsidRDefault="00FF3140">
            <w:pPr>
              <w:keepNext/>
              <w:keepLines/>
              <w:jc w:val="right"/>
            </w:pPr>
            <w:r>
              <w:rPr>
                <w:sz w:val="18"/>
              </w:rPr>
              <w:t>-</w:t>
            </w:r>
          </w:p>
        </w:tc>
      </w:tr>
      <w:tr w:rsidR="008E0448" w14:paraId="3C4C28A7" w14:textId="77777777">
        <w:tblPrEx>
          <w:tblCellMar>
            <w:top w:w="0" w:type="dxa"/>
            <w:bottom w:w="0" w:type="dxa"/>
          </w:tblCellMar>
        </w:tblPrEx>
        <w:trPr>
          <w:cantSplit/>
          <w:trHeight w:val="560"/>
        </w:trPr>
        <w:tc>
          <w:tcPr>
            <w:tcW w:w="700" w:type="dxa"/>
            <w:tcMar>
              <w:top w:w="0" w:type="dxa"/>
              <w:bottom w:w="0" w:type="dxa"/>
            </w:tcMar>
            <w:vAlign w:val="center"/>
          </w:tcPr>
          <w:p w14:paraId="36208E09" w14:textId="77777777" w:rsidR="008E0448" w:rsidRDefault="00FF3140">
            <w:pPr>
              <w:keepNext/>
              <w:keepLines/>
            </w:pPr>
            <w:r>
              <w:rPr>
                <w:sz w:val="18"/>
              </w:rPr>
              <w:t>5</w:t>
            </w:r>
          </w:p>
        </w:tc>
        <w:tc>
          <w:tcPr>
            <w:tcW w:w="3180" w:type="dxa"/>
            <w:tcMar>
              <w:top w:w="0" w:type="dxa"/>
              <w:bottom w:w="0" w:type="dxa"/>
            </w:tcMar>
            <w:vAlign w:val="center"/>
          </w:tcPr>
          <w:p w14:paraId="19F5BEEC" w14:textId="77777777" w:rsidR="008E0448" w:rsidRDefault="00FF3140">
            <w:pPr>
              <w:keepNext/>
              <w:keepLines/>
            </w:pPr>
            <w:r>
              <w:rPr>
                <w:sz w:val="18"/>
              </w:rPr>
              <w:t xml:space="preserve">Izdaci za financijsku imovinu i </w:t>
            </w:r>
            <w:r>
              <w:rPr>
                <w:sz w:val="18"/>
              </w:rPr>
              <w:t>otplate zajmova (šifre 51+52+53+54+55)</w:t>
            </w:r>
          </w:p>
        </w:tc>
        <w:tc>
          <w:tcPr>
            <w:tcW w:w="700" w:type="dxa"/>
            <w:tcMar>
              <w:top w:w="0" w:type="dxa"/>
              <w:bottom w:w="0" w:type="dxa"/>
            </w:tcMar>
            <w:vAlign w:val="center"/>
          </w:tcPr>
          <w:p w14:paraId="03AA1A70" w14:textId="77777777" w:rsidR="008E0448" w:rsidRDefault="00FF3140">
            <w:pPr>
              <w:keepNext/>
              <w:keepLines/>
            </w:pPr>
            <w:r>
              <w:rPr>
                <w:sz w:val="18"/>
              </w:rPr>
              <w:t>5</w:t>
            </w:r>
          </w:p>
        </w:tc>
        <w:tc>
          <w:tcPr>
            <w:tcW w:w="1860" w:type="dxa"/>
            <w:tcMar>
              <w:top w:w="0" w:type="dxa"/>
              <w:bottom w:w="0" w:type="dxa"/>
            </w:tcMar>
            <w:vAlign w:val="center"/>
          </w:tcPr>
          <w:p w14:paraId="2FC4DEBB" w14:textId="77777777" w:rsidR="008E0448" w:rsidRDefault="00FF3140">
            <w:pPr>
              <w:keepNext/>
              <w:keepLines/>
              <w:jc w:val="right"/>
            </w:pPr>
            <w:r>
              <w:rPr>
                <w:sz w:val="18"/>
              </w:rPr>
              <w:t>0,00</w:t>
            </w:r>
          </w:p>
        </w:tc>
        <w:tc>
          <w:tcPr>
            <w:tcW w:w="1860" w:type="dxa"/>
            <w:tcMar>
              <w:top w:w="0" w:type="dxa"/>
              <w:bottom w:w="0" w:type="dxa"/>
            </w:tcMar>
            <w:vAlign w:val="center"/>
          </w:tcPr>
          <w:p w14:paraId="2EA16D92" w14:textId="77777777" w:rsidR="008E0448" w:rsidRDefault="00FF3140">
            <w:pPr>
              <w:keepNext/>
              <w:keepLines/>
              <w:jc w:val="right"/>
            </w:pPr>
            <w:r>
              <w:rPr>
                <w:sz w:val="18"/>
              </w:rPr>
              <w:t>0,00</w:t>
            </w:r>
          </w:p>
        </w:tc>
        <w:tc>
          <w:tcPr>
            <w:tcW w:w="700" w:type="dxa"/>
            <w:tcMar>
              <w:top w:w="0" w:type="dxa"/>
              <w:bottom w:w="0" w:type="dxa"/>
            </w:tcMar>
            <w:vAlign w:val="center"/>
          </w:tcPr>
          <w:p w14:paraId="01F55861" w14:textId="77777777" w:rsidR="008E0448" w:rsidRDefault="00FF3140">
            <w:pPr>
              <w:keepNext/>
              <w:keepLines/>
              <w:jc w:val="right"/>
            </w:pPr>
            <w:r>
              <w:rPr>
                <w:sz w:val="18"/>
              </w:rPr>
              <w:t>-</w:t>
            </w:r>
          </w:p>
        </w:tc>
      </w:tr>
      <w:tr w:rsidR="008E0448" w14:paraId="1F54157C" w14:textId="77777777">
        <w:tblPrEx>
          <w:tblCellMar>
            <w:top w:w="0" w:type="dxa"/>
            <w:bottom w:w="0" w:type="dxa"/>
          </w:tblCellMar>
        </w:tblPrEx>
        <w:trPr>
          <w:cantSplit/>
          <w:trHeight w:val="560"/>
        </w:trPr>
        <w:tc>
          <w:tcPr>
            <w:tcW w:w="700" w:type="dxa"/>
            <w:tcMar>
              <w:top w:w="0" w:type="dxa"/>
              <w:bottom w:w="0" w:type="dxa"/>
            </w:tcMar>
            <w:vAlign w:val="center"/>
          </w:tcPr>
          <w:p w14:paraId="50C056FA" w14:textId="77777777" w:rsidR="008E0448" w:rsidRDefault="008E0448">
            <w:pPr>
              <w:keepNext/>
              <w:keepLines/>
            </w:pPr>
          </w:p>
        </w:tc>
        <w:tc>
          <w:tcPr>
            <w:tcW w:w="3180" w:type="dxa"/>
            <w:tcMar>
              <w:top w:w="0" w:type="dxa"/>
              <w:bottom w:w="0" w:type="dxa"/>
            </w:tcMar>
            <w:vAlign w:val="center"/>
          </w:tcPr>
          <w:p w14:paraId="7DD58A29" w14:textId="77777777" w:rsidR="008E0448" w:rsidRDefault="00FF3140">
            <w:pPr>
              <w:keepNext/>
              <w:keepLines/>
            </w:pPr>
            <w:r>
              <w:rPr>
                <w:b/>
                <w:sz w:val="18"/>
              </w:rPr>
              <w:t>VIŠAK/MANJAK PRIMITAKA OD FINANCIJSKE IMOVINE I ZADUŽIVANJA (šifre 8-5, 5-8)</w:t>
            </w:r>
          </w:p>
        </w:tc>
        <w:tc>
          <w:tcPr>
            <w:tcW w:w="700" w:type="dxa"/>
            <w:tcMar>
              <w:top w:w="0" w:type="dxa"/>
              <w:bottom w:w="0" w:type="dxa"/>
            </w:tcMar>
            <w:vAlign w:val="center"/>
          </w:tcPr>
          <w:p w14:paraId="042242D4" w14:textId="77777777" w:rsidR="008E0448" w:rsidRDefault="00FF3140">
            <w:pPr>
              <w:keepNext/>
              <w:keepLines/>
            </w:pPr>
            <w:r>
              <w:rPr>
                <w:b/>
                <w:sz w:val="18"/>
              </w:rPr>
              <w:t>X003, Y003</w:t>
            </w:r>
          </w:p>
        </w:tc>
        <w:tc>
          <w:tcPr>
            <w:tcW w:w="1860" w:type="dxa"/>
            <w:tcMar>
              <w:top w:w="0" w:type="dxa"/>
              <w:bottom w:w="0" w:type="dxa"/>
            </w:tcMar>
            <w:vAlign w:val="center"/>
          </w:tcPr>
          <w:p w14:paraId="316A8347" w14:textId="77777777" w:rsidR="008E0448" w:rsidRDefault="00FF3140">
            <w:pPr>
              <w:keepNext/>
              <w:keepLines/>
              <w:jc w:val="right"/>
            </w:pPr>
            <w:r>
              <w:rPr>
                <w:b/>
                <w:sz w:val="18"/>
              </w:rPr>
              <w:t>0,00</w:t>
            </w:r>
          </w:p>
        </w:tc>
        <w:tc>
          <w:tcPr>
            <w:tcW w:w="1860" w:type="dxa"/>
            <w:tcMar>
              <w:top w:w="0" w:type="dxa"/>
              <w:bottom w:w="0" w:type="dxa"/>
            </w:tcMar>
            <w:vAlign w:val="center"/>
          </w:tcPr>
          <w:p w14:paraId="5E3B007A" w14:textId="77777777" w:rsidR="008E0448" w:rsidRDefault="00FF3140">
            <w:pPr>
              <w:keepNext/>
              <w:keepLines/>
              <w:jc w:val="right"/>
            </w:pPr>
            <w:r>
              <w:rPr>
                <w:b/>
                <w:sz w:val="18"/>
              </w:rPr>
              <w:t>0,00</w:t>
            </w:r>
          </w:p>
        </w:tc>
        <w:tc>
          <w:tcPr>
            <w:tcW w:w="700" w:type="dxa"/>
            <w:tcMar>
              <w:top w:w="0" w:type="dxa"/>
              <w:bottom w:w="0" w:type="dxa"/>
            </w:tcMar>
            <w:vAlign w:val="center"/>
          </w:tcPr>
          <w:p w14:paraId="188E1F51" w14:textId="77777777" w:rsidR="008E0448" w:rsidRDefault="00FF3140">
            <w:pPr>
              <w:keepNext/>
              <w:keepLines/>
              <w:jc w:val="right"/>
            </w:pPr>
            <w:r>
              <w:rPr>
                <w:b/>
                <w:sz w:val="18"/>
              </w:rPr>
              <w:t>-</w:t>
            </w:r>
          </w:p>
        </w:tc>
      </w:tr>
      <w:tr w:rsidR="008E0448" w14:paraId="1645BAD6" w14:textId="77777777">
        <w:tblPrEx>
          <w:tblCellMar>
            <w:top w:w="0" w:type="dxa"/>
            <w:bottom w:w="0" w:type="dxa"/>
          </w:tblCellMar>
        </w:tblPrEx>
        <w:trPr>
          <w:cantSplit/>
          <w:trHeight w:val="560"/>
        </w:trPr>
        <w:tc>
          <w:tcPr>
            <w:tcW w:w="700" w:type="dxa"/>
            <w:tcMar>
              <w:top w:w="0" w:type="dxa"/>
              <w:bottom w:w="0" w:type="dxa"/>
            </w:tcMar>
            <w:vAlign w:val="center"/>
          </w:tcPr>
          <w:p w14:paraId="77C8EC38" w14:textId="77777777" w:rsidR="008E0448" w:rsidRDefault="008E0448">
            <w:pPr>
              <w:keepNext/>
              <w:keepLines/>
            </w:pPr>
          </w:p>
        </w:tc>
        <w:tc>
          <w:tcPr>
            <w:tcW w:w="3180" w:type="dxa"/>
            <w:tcMar>
              <w:top w:w="0" w:type="dxa"/>
              <w:bottom w:w="0" w:type="dxa"/>
            </w:tcMar>
            <w:vAlign w:val="center"/>
          </w:tcPr>
          <w:p w14:paraId="721B06B1" w14:textId="77777777" w:rsidR="008E0448" w:rsidRDefault="00FF3140">
            <w:pPr>
              <w:keepNext/>
              <w:keepLines/>
            </w:pPr>
            <w:r>
              <w:rPr>
                <w:b/>
                <w:sz w:val="18"/>
              </w:rPr>
              <w:t>VIŠAK PRIHODA I PRIMITAKA (šifre X678-Y345)</w:t>
            </w:r>
          </w:p>
        </w:tc>
        <w:tc>
          <w:tcPr>
            <w:tcW w:w="700" w:type="dxa"/>
            <w:tcMar>
              <w:top w:w="0" w:type="dxa"/>
              <w:bottom w:w="0" w:type="dxa"/>
            </w:tcMar>
            <w:vAlign w:val="center"/>
          </w:tcPr>
          <w:p w14:paraId="11DCB94D" w14:textId="77777777" w:rsidR="008E0448" w:rsidRDefault="00FF3140">
            <w:pPr>
              <w:keepNext/>
              <w:keepLines/>
            </w:pPr>
            <w:r>
              <w:rPr>
                <w:b/>
                <w:sz w:val="18"/>
              </w:rPr>
              <w:t>X005</w:t>
            </w:r>
          </w:p>
        </w:tc>
        <w:tc>
          <w:tcPr>
            <w:tcW w:w="1860" w:type="dxa"/>
            <w:tcMar>
              <w:top w:w="0" w:type="dxa"/>
              <w:bottom w:w="0" w:type="dxa"/>
            </w:tcMar>
            <w:vAlign w:val="center"/>
          </w:tcPr>
          <w:p w14:paraId="5BBD8255" w14:textId="77777777" w:rsidR="008E0448" w:rsidRDefault="00FF3140">
            <w:pPr>
              <w:keepNext/>
              <w:keepLines/>
              <w:jc w:val="right"/>
            </w:pPr>
            <w:r>
              <w:rPr>
                <w:b/>
                <w:sz w:val="18"/>
              </w:rPr>
              <w:t>0,00</w:t>
            </w:r>
          </w:p>
        </w:tc>
        <w:tc>
          <w:tcPr>
            <w:tcW w:w="1860" w:type="dxa"/>
            <w:tcMar>
              <w:top w:w="0" w:type="dxa"/>
              <w:bottom w:w="0" w:type="dxa"/>
            </w:tcMar>
            <w:vAlign w:val="center"/>
          </w:tcPr>
          <w:p w14:paraId="103DDC09" w14:textId="77777777" w:rsidR="008E0448" w:rsidRDefault="00FF3140">
            <w:pPr>
              <w:keepNext/>
              <w:keepLines/>
              <w:jc w:val="right"/>
            </w:pPr>
            <w:r>
              <w:rPr>
                <w:b/>
                <w:sz w:val="18"/>
              </w:rPr>
              <w:t>80.068,45</w:t>
            </w:r>
          </w:p>
        </w:tc>
        <w:tc>
          <w:tcPr>
            <w:tcW w:w="700" w:type="dxa"/>
            <w:tcMar>
              <w:top w:w="0" w:type="dxa"/>
              <w:bottom w:w="0" w:type="dxa"/>
            </w:tcMar>
            <w:vAlign w:val="center"/>
          </w:tcPr>
          <w:p w14:paraId="302F00FD" w14:textId="77777777" w:rsidR="008E0448" w:rsidRDefault="00FF3140">
            <w:pPr>
              <w:keepNext/>
              <w:keepLines/>
              <w:jc w:val="right"/>
            </w:pPr>
            <w:r>
              <w:rPr>
                <w:b/>
                <w:sz w:val="18"/>
              </w:rPr>
              <w:t>-</w:t>
            </w:r>
          </w:p>
        </w:tc>
      </w:tr>
    </w:tbl>
    <w:p w14:paraId="0C1D5DD1" w14:textId="77777777" w:rsidR="008E0448" w:rsidRDefault="008E0448"/>
    <w:p w14:paraId="5DA4C5A2" w14:textId="77777777" w:rsidR="008E0448" w:rsidRDefault="00FF3140">
      <w:r>
        <w:t>U razdoblju od 1. siječnja do 30. lipnja 2026. godine ostvareni su ukupni prihodi poslovanja (šifra 6) u iznosu od 2.194.970,72 eura, što je za 288.757,57 eura, odnosno 15,1 %, više u odnosu na isto razdoblje prethodne godine, kada su iznosili 1.906.213,15</w:t>
      </w:r>
      <w:r>
        <w:t xml:space="preserve"> eura. Najveće povećanje ostvareno je na kontu 652 – Prihodi od upravnih i administrativnih pristojbi, pristojbi po posebnim propisima i naknada, a odnosi se na povećane prihode od sufinanciranja cijene usluga, participacija i sličnih naknada za školsku ku</w:t>
      </w:r>
      <w:r>
        <w:t>hinju, produženi boravak i glazbenu školu.</w:t>
      </w:r>
    </w:p>
    <w:p w14:paraId="153EC639" w14:textId="77777777" w:rsidR="008E0448" w:rsidRDefault="00FF3140">
      <w:r>
        <w:t xml:space="preserve">Ukupni rashodi poslovanja (šifra 3) u izvještajnom razdoblju iznosili su 2.035.440,49 eura, dok su rashodi za nabavu nefinancijske imovine (šifra 4) iznosili 79.461,78 eura. Ostvaren je višak </w:t>
      </w:r>
      <w:r>
        <w:lastRenderedPageBreak/>
        <w:t>prihoda poslovanja (š</w:t>
      </w:r>
      <w:r>
        <w:t>ifra X001) u iznosu od 159.530,23 eura, dok je zbog ulaganja u nefinancijsku imovinu iskazan manjak prihoda od nefinancijske imovine (šifra Y002) u iznosu od 79.461,78 eura.</w:t>
      </w:r>
    </w:p>
    <w:p w14:paraId="2447418A" w14:textId="77777777" w:rsidR="008E0448" w:rsidRDefault="00FF3140">
      <w:r>
        <w:t>Nakon uključivanja svih prihoda, rashoda, primitaka i izdataka, ostvaren je ukupni</w:t>
      </w:r>
      <w:r>
        <w:t xml:space="preserve"> višak prihoda i primitaka (šifra X005) u iznosu od 80.068,45 eura.</w:t>
      </w:r>
    </w:p>
    <w:p w14:paraId="5CAA13E3" w14:textId="77777777" w:rsidR="008E0448" w:rsidRDefault="00FF3140">
      <w:r>
        <w:t>U izvještajnom razdoblju nisu ostvareni primici od financijske imovine i zaduživanja niti su evidentirani izdaci za financijsku imovinu i otplatu zajmova (šifre 5 i 8), slijedom čega po to</w:t>
      </w:r>
      <w:r>
        <w:t>j osnovi nije ostvaren višak niti manjak.</w:t>
      </w:r>
    </w:p>
    <w:p w14:paraId="03C9D39F" w14:textId="77777777" w:rsidR="008E0448" w:rsidRDefault="00FF3140">
      <w:r>
        <w:br/>
      </w:r>
    </w:p>
    <w:p w14:paraId="70C81A4E" w14:textId="77777777" w:rsidR="008E0448" w:rsidRDefault="00FF3140">
      <w:pPr>
        <w:keepNext/>
        <w:jc w:val="center"/>
      </w:pPr>
      <w:r>
        <w:rPr>
          <w:sz w:val="28"/>
        </w:rPr>
        <w:t>Bilješka 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42067B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7A60E3C"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487CDCDA"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793174DA"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795CD158"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8D80A70"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3155311" w14:textId="77777777" w:rsidR="008E0448" w:rsidRDefault="00FF3140">
            <w:pPr>
              <w:keepNext/>
              <w:keepLines/>
              <w:jc w:val="center"/>
            </w:pPr>
            <w:r>
              <w:rPr>
                <w:b/>
                <w:sz w:val="18"/>
              </w:rPr>
              <w:t>Indeks (%)</w:t>
            </w:r>
          </w:p>
        </w:tc>
      </w:tr>
      <w:tr w:rsidR="008E0448" w14:paraId="4DA19707" w14:textId="77777777">
        <w:tblPrEx>
          <w:tblCellMar>
            <w:top w:w="0" w:type="dxa"/>
            <w:bottom w:w="0" w:type="dxa"/>
          </w:tblCellMar>
        </w:tblPrEx>
        <w:trPr>
          <w:cantSplit/>
          <w:trHeight w:val="560"/>
        </w:trPr>
        <w:tc>
          <w:tcPr>
            <w:tcW w:w="700" w:type="dxa"/>
            <w:tcMar>
              <w:top w:w="0" w:type="dxa"/>
              <w:bottom w:w="0" w:type="dxa"/>
            </w:tcMar>
            <w:vAlign w:val="center"/>
          </w:tcPr>
          <w:p w14:paraId="5A372487" w14:textId="77777777" w:rsidR="008E0448" w:rsidRDefault="00FF3140">
            <w:pPr>
              <w:keepNext/>
              <w:keepLines/>
            </w:pPr>
            <w:r>
              <w:rPr>
                <w:sz w:val="18"/>
              </w:rPr>
              <w:t>633</w:t>
            </w:r>
          </w:p>
        </w:tc>
        <w:tc>
          <w:tcPr>
            <w:tcW w:w="3180" w:type="dxa"/>
            <w:tcMar>
              <w:top w:w="0" w:type="dxa"/>
              <w:bottom w:w="0" w:type="dxa"/>
            </w:tcMar>
            <w:vAlign w:val="center"/>
          </w:tcPr>
          <w:p w14:paraId="10813B78" w14:textId="77777777" w:rsidR="008E0448" w:rsidRDefault="00FF3140">
            <w:pPr>
              <w:keepNext/>
              <w:keepLines/>
            </w:pPr>
            <w:r>
              <w:rPr>
                <w:sz w:val="18"/>
              </w:rPr>
              <w:t xml:space="preserve">Pomoći proračunu i </w:t>
            </w:r>
            <w:r>
              <w:rPr>
                <w:sz w:val="18"/>
              </w:rPr>
              <w:t>izvanproračunskim korisnicima iz drugih proračuna (šifre 6331+6332)</w:t>
            </w:r>
          </w:p>
        </w:tc>
        <w:tc>
          <w:tcPr>
            <w:tcW w:w="700" w:type="dxa"/>
            <w:tcMar>
              <w:top w:w="0" w:type="dxa"/>
              <w:bottom w:w="0" w:type="dxa"/>
            </w:tcMar>
            <w:vAlign w:val="center"/>
          </w:tcPr>
          <w:p w14:paraId="48D317B3" w14:textId="77777777" w:rsidR="008E0448" w:rsidRDefault="00FF3140">
            <w:pPr>
              <w:keepNext/>
              <w:keepLines/>
            </w:pPr>
            <w:r>
              <w:rPr>
                <w:sz w:val="18"/>
              </w:rPr>
              <w:t>633</w:t>
            </w:r>
          </w:p>
        </w:tc>
        <w:tc>
          <w:tcPr>
            <w:tcW w:w="1860" w:type="dxa"/>
            <w:tcMar>
              <w:top w:w="0" w:type="dxa"/>
              <w:bottom w:w="0" w:type="dxa"/>
            </w:tcMar>
            <w:vAlign w:val="center"/>
          </w:tcPr>
          <w:p w14:paraId="65411534" w14:textId="77777777" w:rsidR="008E0448" w:rsidRDefault="00FF3140">
            <w:pPr>
              <w:keepNext/>
              <w:keepLines/>
              <w:jc w:val="right"/>
            </w:pPr>
            <w:r>
              <w:rPr>
                <w:sz w:val="18"/>
              </w:rPr>
              <w:t>3.118,05</w:t>
            </w:r>
          </w:p>
        </w:tc>
        <w:tc>
          <w:tcPr>
            <w:tcW w:w="1860" w:type="dxa"/>
            <w:tcMar>
              <w:top w:w="0" w:type="dxa"/>
              <w:bottom w:w="0" w:type="dxa"/>
            </w:tcMar>
            <w:vAlign w:val="center"/>
          </w:tcPr>
          <w:p w14:paraId="0CD74A4E" w14:textId="77777777" w:rsidR="008E0448" w:rsidRDefault="00FF3140">
            <w:pPr>
              <w:keepNext/>
              <w:keepLines/>
              <w:jc w:val="right"/>
            </w:pPr>
            <w:r>
              <w:rPr>
                <w:sz w:val="18"/>
              </w:rPr>
              <w:t>5.253,27</w:t>
            </w:r>
          </w:p>
        </w:tc>
        <w:tc>
          <w:tcPr>
            <w:tcW w:w="700" w:type="dxa"/>
            <w:tcMar>
              <w:top w:w="0" w:type="dxa"/>
              <w:bottom w:w="0" w:type="dxa"/>
            </w:tcMar>
            <w:vAlign w:val="center"/>
          </w:tcPr>
          <w:p w14:paraId="3A4A40B8" w14:textId="77777777" w:rsidR="008E0448" w:rsidRDefault="00FF3140">
            <w:pPr>
              <w:keepNext/>
              <w:keepLines/>
              <w:jc w:val="right"/>
            </w:pPr>
            <w:r>
              <w:rPr>
                <w:sz w:val="18"/>
              </w:rPr>
              <w:t>168,5</w:t>
            </w:r>
          </w:p>
        </w:tc>
      </w:tr>
    </w:tbl>
    <w:p w14:paraId="4B2BCC9F" w14:textId="77777777" w:rsidR="008E0448" w:rsidRDefault="008E0448"/>
    <w:p w14:paraId="6A55CADF" w14:textId="77777777" w:rsidR="008E0448" w:rsidRDefault="00FF3140">
      <w:r>
        <w:t xml:space="preserve">Povećanje prihoda u odnosu na isto razdoblje prethodne godine rezultat je ostvarenih prihoda temeljem ugovora o suradnji u provedbi projekata financiranih od strane Centra izvrsnosti Splitsko-dalmatinske županije – Podružnica Lika. Navedeni prihodi odnose </w:t>
      </w:r>
      <w:r>
        <w:t>se na sredstva za provedbu projekata „Čuvari baštine“ (dva projekta u iznosu od po 664,00 EUR) i „Lički suvenir“ (1.000,00 EUR), odnosno ukupno 2.328,00 EUR, koja su doznačena za provedbu projektnih aktivnosti sukladno sklopljenim ugovorima.</w:t>
      </w:r>
    </w:p>
    <w:p w14:paraId="7854C86A" w14:textId="77777777" w:rsidR="008E0448" w:rsidRDefault="008E0448"/>
    <w:p w14:paraId="679990ED" w14:textId="77777777" w:rsidR="008E0448" w:rsidRDefault="00FF3140">
      <w:pPr>
        <w:keepNext/>
        <w:jc w:val="center"/>
      </w:pPr>
      <w:r>
        <w:rPr>
          <w:sz w:val="28"/>
        </w:rPr>
        <w:t>Bilješka 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0895494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959CF35" w14:textId="77777777" w:rsidR="008E0448" w:rsidRDefault="00FF3140">
            <w:pPr>
              <w:keepNext/>
              <w:keepLines/>
              <w:jc w:val="center"/>
            </w:pPr>
            <w:r>
              <w:rPr>
                <w:b/>
                <w:sz w:val="18"/>
              </w:rPr>
              <w:t>R</w:t>
            </w:r>
            <w:r>
              <w:rPr>
                <w:b/>
                <w:sz w:val="18"/>
              </w:rPr>
              <w:t>ačun iz rač. plana</w:t>
            </w:r>
          </w:p>
        </w:tc>
        <w:tc>
          <w:tcPr>
            <w:tcW w:w="3180" w:type="dxa"/>
            <w:shd w:val="clear" w:color="auto" w:fill="E7F0F9"/>
            <w:tcMar>
              <w:top w:w="0" w:type="dxa"/>
              <w:bottom w:w="0" w:type="dxa"/>
            </w:tcMar>
            <w:vAlign w:val="center"/>
          </w:tcPr>
          <w:p w14:paraId="556EE870"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1AD7F5C5"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69FC3B50"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C7C6779"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B9A46A8" w14:textId="77777777" w:rsidR="008E0448" w:rsidRDefault="00FF3140">
            <w:pPr>
              <w:keepNext/>
              <w:keepLines/>
              <w:jc w:val="center"/>
            </w:pPr>
            <w:r>
              <w:rPr>
                <w:b/>
                <w:sz w:val="18"/>
              </w:rPr>
              <w:t>Indeks (%)</w:t>
            </w:r>
          </w:p>
        </w:tc>
      </w:tr>
      <w:tr w:rsidR="008E0448" w14:paraId="2E207374" w14:textId="77777777">
        <w:tblPrEx>
          <w:tblCellMar>
            <w:top w:w="0" w:type="dxa"/>
            <w:bottom w:w="0" w:type="dxa"/>
          </w:tblCellMar>
        </w:tblPrEx>
        <w:trPr>
          <w:cantSplit/>
          <w:trHeight w:val="560"/>
        </w:trPr>
        <w:tc>
          <w:tcPr>
            <w:tcW w:w="700" w:type="dxa"/>
            <w:tcMar>
              <w:top w:w="0" w:type="dxa"/>
              <w:bottom w:w="0" w:type="dxa"/>
            </w:tcMar>
            <w:vAlign w:val="center"/>
          </w:tcPr>
          <w:p w14:paraId="62286BF3" w14:textId="77777777" w:rsidR="008E0448" w:rsidRDefault="00FF3140">
            <w:pPr>
              <w:keepNext/>
              <w:keepLines/>
            </w:pPr>
            <w:r>
              <w:rPr>
                <w:sz w:val="18"/>
              </w:rPr>
              <w:t>636</w:t>
            </w:r>
          </w:p>
        </w:tc>
        <w:tc>
          <w:tcPr>
            <w:tcW w:w="3180" w:type="dxa"/>
            <w:tcMar>
              <w:top w:w="0" w:type="dxa"/>
              <w:bottom w:w="0" w:type="dxa"/>
            </w:tcMar>
            <w:vAlign w:val="center"/>
          </w:tcPr>
          <w:p w14:paraId="43C23699" w14:textId="77777777" w:rsidR="008E0448" w:rsidRDefault="00FF3140">
            <w:pPr>
              <w:keepNext/>
              <w:keepLines/>
            </w:pPr>
            <w:r>
              <w:rPr>
                <w:sz w:val="18"/>
              </w:rPr>
              <w:t>Pomoći proračunskim korisnicima iz proračuna koji im nije nadležan (šifre 6361+6362)</w:t>
            </w:r>
          </w:p>
        </w:tc>
        <w:tc>
          <w:tcPr>
            <w:tcW w:w="700" w:type="dxa"/>
            <w:tcMar>
              <w:top w:w="0" w:type="dxa"/>
              <w:bottom w:w="0" w:type="dxa"/>
            </w:tcMar>
            <w:vAlign w:val="center"/>
          </w:tcPr>
          <w:p w14:paraId="0CB565F3" w14:textId="77777777" w:rsidR="008E0448" w:rsidRDefault="00FF3140">
            <w:pPr>
              <w:keepNext/>
              <w:keepLines/>
            </w:pPr>
            <w:r>
              <w:rPr>
                <w:sz w:val="18"/>
              </w:rPr>
              <w:t>636</w:t>
            </w:r>
          </w:p>
        </w:tc>
        <w:tc>
          <w:tcPr>
            <w:tcW w:w="1860" w:type="dxa"/>
            <w:tcMar>
              <w:top w:w="0" w:type="dxa"/>
              <w:bottom w:w="0" w:type="dxa"/>
            </w:tcMar>
            <w:vAlign w:val="center"/>
          </w:tcPr>
          <w:p w14:paraId="2614D101" w14:textId="77777777" w:rsidR="008E0448" w:rsidRDefault="00FF3140">
            <w:pPr>
              <w:keepNext/>
              <w:keepLines/>
              <w:jc w:val="right"/>
            </w:pPr>
            <w:r>
              <w:rPr>
                <w:sz w:val="18"/>
              </w:rPr>
              <w:t>1.491.703,28</w:t>
            </w:r>
          </w:p>
        </w:tc>
        <w:tc>
          <w:tcPr>
            <w:tcW w:w="1860" w:type="dxa"/>
            <w:tcMar>
              <w:top w:w="0" w:type="dxa"/>
              <w:bottom w:w="0" w:type="dxa"/>
            </w:tcMar>
            <w:vAlign w:val="center"/>
          </w:tcPr>
          <w:p w14:paraId="07A2CFE9" w14:textId="77777777" w:rsidR="008E0448" w:rsidRDefault="00FF3140">
            <w:pPr>
              <w:keepNext/>
              <w:keepLines/>
              <w:jc w:val="right"/>
            </w:pPr>
            <w:r>
              <w:rPr>
                <w:sz w:val="18"/>
              </w:rPr>
              <w:t>1.645.469,77</w:t>
            </w:r>
          </w:p>
        </w:tc>
        <w:tc>
          <w:tcPr>
            <w:tcW w:w="700" w:type="dxa"/>
            <w:tcMar>
              <w:top w:w="0" w:type="dxa"/>
              <w:bottom w:w="0" w:type="dxa"/>
            </w:tcMar>
            <w:vAlign w:val="center"/>
          </w:tcPr>
          <w:p w14:paraId="0C0EC822" w14:textId="77777777" w:rsidR="008E0448" w:rsidRDefault="00FF3140">
            <w:pPr>
              <w:keepNext/>
              <w:keepLines/>
              <w:jc w:val="right"/>
            </w:pPr>
            <w:r>
              <w:rPr>
                <w:sz w:val="18"/>
              </w:rPr>
              <w:t>110,3</w:t>
            </w:r>
          </w:p>
        </w:tc>
      </w:tr>
    </w:tbl>
    <w:p w14:paraId="2DF9FE56" w14:textId="77777777" w:rsidR="008E0448" w:rsidRDefault="008E0448"/>
    <w:p w14:paraId="6A9EF0DF" w14:textId="77777777" w:rsidR="008E0448" w:rsidRDefault="00FF3140">
      <w:r>
        <w:t>Povećanje prihoda od pomoći proračunskim korisnicima iz proračuna koji im nije nadležan rezultat je povećanja ostvarenih prihoda koji se odnose na sredstva evidentirana u okviru te skupine prihoda, a čije su kretanje i razlozi promjena detaljnije obrazlože</w:t>
      </w:r>
      <w:r>
        <w:t>ni u nastavku.</w:t>
      </w:r>
    </w:p>
    <w:p w14:paraId="6E8B8DB9" w14:textId="77777777" w:rsidR="008E0448" w:rsidRDefault="008E0448"/>
    <w:p w14:paraId="7AC8F5ED" w14:textId="77777777" w:rsidR="008E0448" w:rsidRDefault="00FF3140">
      <w:pPr>
        <w:keepNext/>
        <w:jc w:val="center"/>
      </w:pPr>
      <w:r>
        <w:rPr>
          <w:sz w:val="28"/>
        </w:rPr>
        <w:t>Bilješka 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7B2AF99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A8F91E4"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40DC96FE"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69996CD5"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DF10A0F"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631BC3C1"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3B31A8F1" w14:textId="77777777" w:rsidR="008E0448" w:rsidRDefault="00FF3140">
            <w:pPr>
              <w:keepNext/>
              <w:keepLines/>
              <w:jc w:val="center"/>
            </w:pPr>
            <w:r>
              <w:rPr>
                <w:b/>
                <w:sz w:val="18"/>
              </w:rPr>
              <w:t>Indeks (%)</w:t>
            </w:r>
          </w:p>
        </w:tc>
      </w:tr>
      <w:tr w:rsidR="008E0448" w14:paraId="23F63C70" w14:textId="77777777">
        <w:tblPrEx>
          <w:tblCellMar>
            <w:top w:w="0" w:type="dxa"/>
            <w:bottom w:w="0" w:type="dxa"/>
          </w:tblCellMar>
        </w:tblPrEx>
        <w:trPr>
          <w:cantSplit/>
          <w:trHeight w:val="560"/>
        </w:trPr>
        <w:tc>
          <w:tcPr>
            <w:tcW w:w="700" w:type="dxa"/>
            <w:tcMar>
              <w:top w:w="0" w:type="dxa"/>
              <w:bottom w:w="0" w:type="dxa"/>
            </w:tcMar>
            <w:vAlign w:val="center"/>
          </w:tcPr>
          <w:p w14:paraId="3AB71AF5" w14:textId="77777777" w:rsidR="008E0448" w:rsidRDefault="00FF3140">
            <w:pPr>
              <w:keepNext/>
              <w:keepLines/>
            </w:pPr>
            <w:r>
              <w:rPr>
                <w:sz w:val="18"/>
              </w:rPr>
              <w:t>6361</w:t>
            </w:r>
          </w:p>
        </w:tc>
        <w:tc>
          <w:tcPr>
            <w:tcW w:w="3180" w:type="dxa"/>
            <w:tcMar>
              <w:top w:w="0" w:type="dxa"/>
              <w:bottom w:w="0" w:type="dxa"/>
            </w:tcMar>
            <w:vAlign w:val="center"/>
          </w:tcPr>
          <w:p w14:paraId="1D920CE3" w14:textId="77777777" w:rsidR="008E0448" w:rsidRDefault="00FF3140">
            <w:pPr>
              <w:keepNext/>
              <w:keepLines/>
            </w:pPr>
            <w:r>
              <w:rPr>
                <w:sz w:val="18"/>
              </w:rPr>
              <w:t xml:space="preserve">Tekuće pomoći proračunskim korisnicima iz proračuna koji im nije </w:t>
            </w:r>
            <w:r>
              <w:rPr>
                <w:sz w:val="18"/>
              </w:rPr>
              <w:t>nadležan</w:t>
            </w:r>
          </w:p>
        </w:tc>
        <w:tc>
          <w:tcPr>
            <w:tcW w:w="700" w:type="dxa"/>
            <w:tcMar>
              <w:top w:w="0" w:type="dxa"/>
              <w:bottom w:w="0" w:type="dxa"/>
            </w:tcMar>
            <w:vAlign w:val="center"/>
          </w:tcPr>
          <w:p w14:paraId="070518D1" w14:textId="77777777" w:rsidR="008E0448" w:rsidRDefault="00FF3140">
            <w:pPr>
              <w:keepNext/>
              <w:keepLines/>
            </w:pPr>
            <w:r>
              <w:rPr>
                <w:sz w:val="18"/>
              </w:rPr>
              <w:t>6361</w:t>
            </w:r>
          </w:p>
        </w:tc>
        <w:tc>
          <w:tcPr>
            <w:tcW w:w="1860" w:type="dxa"/>
            <w:tcMar>
              <w:top w:w="0" w:type="dxa"/>
              <w:bottom w:w="0" w:type="dxa"/>
            </w:tcMar>
            <w:vAlign w:val="center"/>
          </w:tcPr>
          <w:p w14:paraId="6995ADD0" w14:textId="77777777" w:rsidR="008E0448" w:rsidRDefault="00FF3140">
            <w:pPr>
              <w:keepNext/>
              <w:keepLines/>
              <w:jc w:val="right"/>
            </w:pPr>
            <w:r>
              <w:rPr>
                <w:sz w:val="18"/>
              </w:rPr>
              <w:t>1.491.703,28</w:t>
            </w:r>
          </w:p>
        </w:tc>
        <w:tc>
          <w:tcPr>
            <w:tcW w:w="1860" w:type="dxa"/>
            <w:tcMar>
              <w:top w:w="0" w:type="dxa"/>
              <w:bottom w:w="0" w:type="dxa"/>
            </w:tcMar>
            <w:vAlign w:val="center"/>
          </w:tcPr>
          <w:p w14:paraId="2E3A04FE" w14:textId="77777777" w:rsidR="008E0448" w:rsidRDefault="00FF3140">
            <w:pPr>
              <w:keepNext/>
              <w:keepLines/>
              <w:jc w:val="right"/>
            </w:pPr>
            <w:r>
              <w:rPr>
                <w:sz w:val="18"/>
              </w:rPr>
              <w:t>1.623.315,52</w:t>
            </w:r>
          </w:p>
        </w:tc>
        <w:tc>
          <w:tcPr>
            <w:tcW w:w="700" w:type="dxa"/>
            <w:tcMar>
              <w:top w:w="0" w:type="dxa"/>
              <w:bottom w:w="0" w:type="dxa"/>
            </w:tcMar>
            <w:vAlign w:val="center"/>
          </w:tcPr>
          <w:p w14:paraId="02DE447E" w14:textId="77777777" w:rsidR="008E0448" w:rsidRDefault="00FF3140">
            <w:pPr>
              <w:keepNext/>
              <w:keepLines/>
              <w:jc w:val="right"/>
            </w:pPr>
            <w:r>
              <w:rPr>
                <w:sz w:val="18"/>
              </w:rPr>
              <w:t>108,8</w:t>
            </w:r>
          </w:p>
        </w:tc>
      </w:tr>
    </w:tbl>
    <w:p w14:paraId="3879640A" w14:textId="77777777" w:rsidR="008E0448" w:rsidRDefault="008E0448"/>
    <w:p w14:paraId="23FFABD3" w14:textId="77777777" w:rsidR="008E0448" w:rsidRDefault="00FF3140">
      <w:r>
        <w:t>Povećanje prihoda u odnosu na isto razdoblje prethodne godine rezultat je većeg iznosa doznačenih sredstava namijenjenih financiranju rashoda za plaće zaposlenika.</w:t>
      </w:r>
    </w:p>
    <w:p w14:paraId="226F8F7A" w14:textId="77777777" w:rsidR="008E0448" w:rsidRDefault="008E0448"/>
    <w:p w14:paraId="2CDFFC49" w14:textId="77777777" w:rsidR="008E0448" w:rsidRDefault="00FF3140">
      <w:pPr>
        <w:keepNext/>
        <w:jc w:val="center"/>
      </w:pPr>
      <w:r>
        <w:rPr>
          <w:sz w:val="28"/>
        </w:rPr>
        <w:lastRenderedPageBreak/>
        <w:t>Bilješka 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7C054E4C"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7DE4281"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14AA1B5E"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5CE8AA15"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64D1C5A9" w14:textId="77777777" w:rsidR="008E0448" w:rsidRDefault="00FF3140">
            <w:pPr>
              <w:keepNext/>
              <w:keepLines/>
              <w:jc w:val="center"/>
            </w:pPr>
            <w:r>
              <w:rPr>
                <w:b/>
                <w:sz w:val="18"/>
              </w:rPr>
              <w:t>Ostvareno u izvještajnom razdoblju pretho</w:t>
            </w:r>
            <w:r>
              <w:rPr>
                <w:b/>
                <w:sz w:val="18"/>
              </w:rPr>
              <w:t>dne godine</w:t>
            </w:r>
          </w:p>
        </w:tc>
        <w:tc>
          <w:tcPr>
            <w:tcW w:w="1860" w:type="dxa"/>
            <w:shd w:val="clear" w:color="auto" w:fill="E7F0F9"/>
            <w:tcMar>
              <w:top w:w="0" w:type="dxa"/>
              <w:bottom w:w="0" w:type="dxa"/>
            </w:tcMar>
            <w:vAlign w:val="center"/>
          </w:tcPr>
          <w:p w14:paraId="5E98E306"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2A4A35F9" w14:textId="77777777" w:rsidR="008E0448" w:rsidRDefault="00FF3140">
            <w:pPr>
              <w:keepNext/>
              <w:keepLines/>
              <w:jc w:val="center"/>
            </w:pPr>
            <w:r>
              <w:rPr>
                <w:b/>
                <w:sz w:val="18"/>
              </w:rPr>
              <w:t>Indeks (%)</w:t>
            </w:r>
          </w:p>
        </w:tc>
      </w:tr>
      <w:tr w:rsidR="008E0448" w14:paraId="5C8C5BC9" w14:textId="77777777">
        <w:tblPrEx>
          <w:tblCellMar>
            <w:top w:w="0" w:type="dxa"/>
            <w:bottom w:w="0" w:type="dxa"/>
          </w:tblCellMar>
        </w:tblPrEx>
        <w:trPr>
          <w:cantSplit/>
          <w:trHeight w:val="560"/>
        </w:trPr>
        <w:tc>
          <w:tcPr>
            <w:tcW w:w="700" w:type="dxa"/>
            <w:tcMar>
              <w:top w:w="0" w:type="dxa"/>
              <w:bottom w:w="0" w:type="dxa"/>
            </w:tcMar>
            <w:vAlign w:val="center"/>
          </w:tcPr>
          <w:p w14:paraId="7299A654" w14:textId="77777777" w:rsidR="008E0448" w:rsidRDefault="00FF3140">
            <w:pPr>
              <w:keepNext/>
              <w:keepLines/>
            </w:pPr>
            <w:r>
              <w:rPr>
                <w:sz w:val="18"/>
              </w:rPr>
              <w:t>6362</w:t>
            </w:r>
          </w:p>
        </w:tc>
        <w:tc>
          <w:tcPr>
            <w:tcW w:w="3180" w:type="dxa"/>
            <w:tcMar>
              <w:top w:w="0" w:type="dxa"/>
              <w:bottom w:w="0" w:type="dxa"/>
            </w:tcMar>
            <w:vAlign w:val="center"/>
          </w:tcPr>
          <w:p w14:paraId="0B8ED3F0" w14:textId="77777777" w:rsidR="008E0448" w:rsidRDefault="00FF3140">
            <w:pPr>
              <w:keepNext/>
              <w:keepLines/>
            </w:pPr>
            <w:r>
              <w:rPr>
                <w:sz w:val="18"/>
              </w:rPr>
              <w:t>Kapitalne pomoći proračunskim korisnicima iz proračuna koji im nije nadležan</w:t>
            </w:r>
          </w:p>
        </w:tc>
        <w:tc>
          <w:tcPr>
            <w:tcW w:w="700" w:type="dxa"/>
            <w:tcMar>
              <w:top w:w="0" w:type="dxa"/>
              <w:bottom w:w="0" w:type="dxa"/>
            </w:tcMar>
            <w:vAlign w:val="center"/>
          </w:tcPr>
          <w:p w14:paraId="01655590" w14:textId="77777777" w:rsidR="008E0448" w:rsidRDefault="00FF3140">
            <w:pPr>
              <w:keepNext/>
              <w:keepLines/>
            </w:pPr>
            <w:r>
              <w:rPr>
                <w:sz w:val="18"/>
              </w:rPr>
              <w:t>6362</w:t>
            </w:r>
          </w:p>
        </w:tc>
        <w:tc>
          <w:tcPr>
            <w:tcW w:w="1860" w:type="dxa"/>
            <w:tcMar>
              <w:top w:w="0" w:type="dxa"/>
              <w:bottom w:w="0" w:type="dxa"/>
            </w:tcMar>
            <w:vAlign w:val="center"/>
          </w:tcPr>
          <w:p w14:paraId="279031B5" w14:textId="77777777" w:rsidR="008E0448" w:rsidRDefault="00FF3140">
            <w:pPr>
              <w:keepNext/>
              <w:keepLines/>
              <w:jc w:val="right"/>
            </w:pPr>
            <w:r>
              <w:rPr>
                <w:sz w:val="18"/>
              </w:rPr>
              <w:t>0,00</w:t>
            </w:r>
          </w:p>
        </w:tc>
        <w:tc>
          <w:tcPr>
            <w:tcW w:w="1860" w:type="dxa"/>
            <w:tcMar>
              <w:top w:w="0" w:type="dxa"/>
              <w:bottom w:w="0" w:type="dxa"/>
            </w:tcMar>
            <w:vAlign w:val="center"/>
          </w:tcPr>
          <w:p w14:paraId="61CFAFAA" w14:textId="77777777" w:rsidR="008E0448" w:rsidRDefault="00FF3140">
            <w:pPr>
              <w:keepNext/>
              <w:keepLines/>
              <w:jc w:val="right"/>
            </w:pPr>
            <w:r>
              <w:rPr>
                <w:sz w:val="18"/>
              </w:rPr>
              <w:t>22.154,25</w:t>
            </w:r>
          </w:p>
        </w:tc>
        <w:tc>
          <w:tcPr>
            <w:tcW w:w="700" w:type="dxa"/>
            <w:tcMar>
              <w:top w:w="0" w:type="dxa"/>
              <w:bottom w:w="0" w:type="dxa"/>
            </w:tcMar>
            <w:vAlign w:val="center"/>
          </w:tcPr>
          <w:p w14:paraId="7792F9F6" w14:textId="77777777" w:rsidR="008E0448" w:rsidRDefault="00FF3140">
            <w:pPr>
              <w:keepNext/>
              <w:keepLines/>
              <w:jc w:val="right"/>
            </w:pPr>
            <w:r>
              <w:rPr>
                <w:sz w:val="18"/>
              </w:rPr>
              <w:t>-</w:t>
            </w:r>
          </w:p>
        </w:tc>
      </w:tr>
    </w:tbl>
    <w:p w14:paraId="0FAA0CF5" w14:textId="77777777" w:rsidR="008E0448" w:rsidRDefault="008E0448"/>
    <w:p w14:paraId="09BFCBCE" w14:textId="77777777" w:rsidR="008E0448" w:rsidRDefault="00FF3140">
      <w:r>
        <w:t>Povećanje kapitalnih pomoći rezultat je odobrenih namjenskih sredstava temeljem Odluke ministra znanosti, obrazovanja i mladih, prof. dr. sc. Radovana Fuchsa, o korištenju planiranih financijskih sredstava za kapitalni projekt K579064 – Kapitalne investici</w:t>
      </w:r>
      <w:r>
        <w:t>je u osnovnom i srednjem školstvu u Državnom proračunu Republike Hrvatske za 2026. godinu. Sredstva su odobrena za financiranje troškova ugradnje zaštitnih zidnih obloga u sklopu projekta zamjene parketa u školskoj sportskoj dvorani.</w:t>
      </w:r>
    </w:p>
    <w:p w14:paraId="1DFA452D" w14:textId="77777777" w:rsidR="008E0448" w:rsidRDefault="008E0448"/>
    <w:p w14:paraId="253C90B0" w14:textId="77777777" w:rsidR="008E0448" w:rsidRDefault="00FF3140">
      <w:pPr>
        <w:keepNext/>
        <w:jc w:val="center"/>
      </w:pPr>
      <w:r>
        <w:rPr>
          <w:sz w:val="28"/>
        </w:rPr>
        <w:t>Bilješka 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0719FC7E"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F877267"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2A3C9151"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709F973B"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579A53A"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6C4600A"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6A51B6E" w14:textId="77777777" w:rsidR="008E0448" w:rsidRDefault="00FF3140">
            <w:pPr>
              <w:keepNext/>
              <w:keepLines/>
              <w:jc w:val="center"/>
            </w:pPr>
            <w:r>
              <w:rPr>
                <w:b/>
                <w:sz w:val="18"/>
              </w:rPr>
              <w:t>Indeks (%)</w:t>
            </w:r>
          </w:p>
        </w:tc>
      </w:tr>
      <w:tr w:rsidR="008E0448" w14:paraId="0397AD01" w14:textId="77777777">
        <w:tblPrEx>
          <w:tblCellMar>
            <w:top w:w="0" w:type="dxa"/>
            <w:bottom w:w="0" w:type="dxa"/>
          </w:tblCellMar>
        </w:tblPrEx>
        <w:trPr>
          <w:cantSplit/>
          <w:trHeight w:val="560"/>
        </w:trPr>
        <w:tc>
          <w:tcPr>
            <w:tcW w:w="700" w:type="dxa"/>
            <w:tcMar>
              <w:top w:w="0" w:type="dxa"/>
              <w:bottom w:w="0" w:type="dxa"/>
            </w:tcMar>
            <w:vAlign w:val="center"/>
          </w:tcPr>
          <w:p w14:paraId="0AF823BA" w14:textId="77777777" w:rsidR="008E0448" w:rsidRDefault="00FF3140">
            <w:pPr>
              <w:keepNext/>
              <w:keepLines/>
            </w:pPr>
            <w:r>
              <w:rPr>
                <w:sz w:val="18"/>
              </w:rPr>
              <w:t>639</w:t>
            </w:r>
          </w:p>
        </w:tc>
        <w:tc>
          <w:tcPr>
            <w:tcW w:w="3180" w:type="dxa"/>
            <w:tcMar>
              <w:top w:w="0" w:type="dxa"/>
              <w:bottom w:w="0" w:type="dxa"/>
            </w:tcMar>
            <w:vAlign w:val="center"/>
          </w:tcPr>
          <w:p w14:paraId="6C7F41A7" w14:textId="77777777" w:rsidR="008E0448" w:rsidRDefault="00FF3140">
            <w:pPr>
              <w:keepNext/>
              <w:keepLines/>
            </w:pPr>
            <w:r>
              <w:rPr>
                <w:sz w:val="18"/>
              </w:rPr>
              <w:t>Prijenosi između proračunskih korisnika istog proračuna (šifre 6391 do 6394)</w:t>
            </w:r>
          </w:p>
        </w:tc>
        <w:tc>
          <w:tcPr>
            <w:tcW w:w="700" w:type="dxa"/>
            <w:tcMar>
              <w:top w:w="0" w:type="dxa"/>
              <w:bottom w:w="0" w:type="dxa"/>
            </w:tcMar>
            <w:vAlign w:val="center"/>
          </w:tcPr>
          <w:p w14:paraId="69068E83" w14:textId="77777777" w:rsidR="008E0448" w:rsidRDefault="00FF3140">
            <w:pPr>
              <w:keepNext/>
              <w:keepLines/>
            </w:pPr>
            <w:r>
              <w:rPr>
                <w:sz w:val="18"/>
              </w:rPr>
              <w:t>639</w:t>
            </w:r>
          </w:p>
        </w:tc>
        <w:tc>
          <w:tcPr>
            <w:tcW w:w="1860" w:type="dxa"/>
            <w:tcMar>
              <w:top w:w="0" w:type="dxa"/>
              <w:bottom w:w="0" w:type="dxa"/>
            </w:tcMar>
            <w:vAlign w:val="center"/>
          </w:tcPr>
          <w:p w14:paraId="3B9638B1" w14:textId="77777777" w:rsidR="008E0448" w:rsidRDefault="00FF3140">
            <w:pPr>
              <w:keepNext/>
              <w:keepLines/>
              <w:jc w:val="right"/>
            </w:pPr>
            <w:r>
              <w:rPr>
                <w:sz w:val="18"/>
              </w:rPr>
              <w:t>68.222,94</w:t>
            </w:r>
          </w:p>
        </w:tc>
        <w:tc>
          <w:tcPr>
            <w:tcW w:w="1860" w:type="dxa"/>
            <w:tcMar>
              <w:top w:w="0" w:type="dxa"/>
              <w:bottom w:w="0" w:type="dxa"/>
            </w:tcMar>
            <w:vAlign w:val="center"/>
          </w:tcPr>
          <w:p w14:paraId="0D09B6DF" w14:textId="77777777" w:rsidR="008E0448" w:rsidRDefault="00FF3140">
            <w:pPr>
              <w:keepNext/>
              <w:keepLines/>
              <w:jc w:val="right"/>
            </w:pPr>
            <w:r>
              <w:rPr>
                <w:sz w:val="18"/>
              </w:rPr>
              <w:t>76.048,21</w:t>
            </w:r>
          </w:p>
        </w:tc>
        <w:tc>
          <w:tcPr>
            <w:tcW w:w="700" w:type="dxa"/>
            <w:tcMar>
              <w:top w:w="0" w:type="dxa"/>
              <w:bottom w:w="0" w:type="dxa"/>
            </w:tcMar>
            <w:vAlign w:val="center"/>
          </w:tcPr>
          <w:p w14:paraId="48B930F3" w14:textId="77777777" w:rsidR="008E0448" w:rsidRDefault="00FF3140">
            <w:pPr>
              <w:keepNext/>
              <w:keepLines/>
              <w:jc w:val="right"/>
            </w:pPr>
            <w:r>
              <w:rPr>
                <w:sz w:val="18"/>
              </w:rPr>
              <w:t>111,5</w:t>
            </w:r>
          </w:p>
        </w:tc>
      </w:tr>
    </w:tbl>
    <w:p w14:paraId="6CD4A0DB" w14:textId="77777777" w:rsidR="008E0448" w:rsidRDefault="008E0448"/>
    <w:p w14:paraId="342BD2D1" w14:textId="77777777" w:rsidR="008E0448" w:rsidRDefault="00FF3140">
      <w:r>
        <w:t>Povećanje prihoda od tekućih prijenosa između proračunskih korisnika istog proračuna za 11,5 % u odnosu na isto razdoblje prethodne godine rezultat je većeg broja pomoćnika u nastavi uključenih u projekt „Korak prema jednakosti“.</w:t>
      </w:r>
    </w:p>
    <w:p w14:paraId="10436D14" w14:textId="77777777" w:rsidR="008E0448" w:rsidRDefault="008E0448"/>
    <w:p w14:paraId="05BC40E1" w14:textId="77777777" w:rsidR="008E0448" w:rsidRDefault="00FF3140">
      <w:pPr>
        <w:keepNext/>
        <w:jc w:val="center"/>
      </w:pPr>
      <w:r>
        <w:rPr>
          <w:sz w:val="28"/>
        </w:rPr>
        <w:t>Bilješka 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6E3F40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211BC73" w14:textId="77777777" w:rsidR="008E0448" w:rsidRDefault="00FF3140">
            <w:pPr>
              <w:keepNext/>
              <w:keepLines/>
              <w:jc w:val="center"/>
            </w:pPr>
            <w:r>
              <w:rPr>
                <w:b/>
                <w:sz w:val="18"/>
              </w:rPr>
              <w:t>Račun iz rač.</w:t>
            </w:r>
            <w:r>
              <w:rPr>
                <w:b/>
                <w:sz w:val="18"/>
              </w:rPr>
              <w:t xml:space="preserve"> plana</w:t>
            </w:r>
          </w:p>
        </w:tc>
        <w:tc>
          <w:tcPr>
            <w:tcW w:w="3180" w:type="dxa"/>
            <w:shd w:val="clear" w:color="auto" w:fill="E7F0F9"/>
            <w:tcMar>
              <w:top w:w="0" w:type="dxa"/>
              <w:bottom w:w="0" w:type="dxa"/>
            </w:tcMar>
            <w:vAlign w:val="center"/>
          </w:tcPr>
          <w:p w14:paraId="1D7750E9"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0567B8EA"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772D9A4F"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2B85B679"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3B5F77B" w14:textId="77777777" w:rsidR="008E0448" w:rsidRDefault="00FF3140">
            <w:pPr>
              <w:keepNext/>
              <w:keepLines/>
              <w:jc w:val="center"/>
            </w:pPr>
            <w:r>
              <w:rPr>
                <w:b/>
                <w:sz w:val="18"/>
              </w:rPr>
              <w:t>Indeks (%)</w:t>
            </w:r>
          </w:p>
        </w:tc>
      </w:tr>
      <w:tr w:rsidR="008E0448" w14:paraId="3F0DFE51" w14:textId="77777777">
        <w:tblPrEx>
          <w:tblCellMar>
            <w:top w:w="0" w:type="dxa"/>
            <w:bottom w:w="0" w:type="dxa"/>
          </w:tblCellMar>
        </w:tblPrEx>
        <w:trPr>
          <w:cantSplit/>
          <w:trHeight w:val="560"/>
        </w:trPr>
        <w:tc>
          <w:tcPr>
            <w:tcW w:w="700" w:type="dxa"/>
            <w:tcMar>
              <w:top w:w="0" w:type="dxa"/>
              <w:bottom w:w="0" w:type="dxa"/>
            </w:tcMar>
            <w:vAlign w:val="center"/>
          </w:tcPr>
          <w:p w14:paraId="6214F81F" w14:textId="77777777" w:rsidR="008E0448" w:rsidRDefault="00FF3140">
            <w:pPr>
              <w:keepNext/>
              <w:keepLines/>
            </w:pPr>
            <w:r>
              <w:rPr>
                <w:sz w:val="18"/>
              </w:rPr>
              <w:t>65</w:t>
            </w:r>
          </w:p>
        </w:tc>
        <w:tc>
          <w:tcPr>
            <w:tcW w:w="3180" w:type="dxa"/>
            <w:tcMar>
              <w:top w:w="0" w:type="dxa"/>
              <w:bottom w:w="0" w:type="dxa"/>
            </w:tcMar>
            <w:vAlign w:val="center"/>
          </w:tcPr>
          <w:p w14:paraId="597F9FB7" w14:textId="77777777" w:rsidR="008E0448" w:rsidRDefault="00FF3140">
            <w:pPr>
              <w:keepNext/>
              <w:keepLines/>
            </w:pPr>
            <w:r>
              <w:rPr>
                <w:sz w:val="18"/>
              </w:rPr>
              <w:t xml:space="preserve">Prihodi od upravnih i administrativnih pristojbi, pristojbi po posebnim propisima i naknada (šifre </w:t>
            </w:r>
            <w:r>
              <w:rPr>
                <w:sz w:val="18"/>
              </w:rPr>
              <w:t>651+652+653+654)</w:t>
            </w:r>
          </w:p>
        </w:tc>
        <w:tc>
          <w:tcPr>
            <w:tcW w:w="700" w:type="dxa"/>
            <w:tcMar>
              <w:top w:w="0" w:type="dxa"/>
              <w:bottom w:w="0" w:type="dxa"/>
            </w:tcMar>
            <w:vAlign w:val="center"/>
          </w:tcPr>
          <w:p w14:paraId="101F233F" w14:textId="77777777" w:rsidR="008E0448" w:rsidRDefault="00FF3140">
            <w:pPr>
              <w:keepNext/>
              <w:keepLines/>
            </w:pPr>
            <w:r>
              <w:rPr>
                <w:sz w:val="18"/>
              </w:rPr>
              <w:t>65</w:t>
            </w:r>
          </w:p>
        </w:tc>
        <w:tc>
          <w:tcPr>
            <w:tcW w:w="1860" w:type="dxa"/>
            <w:tcMar>
              <w:top w:w="0" w:type="dxa"/>
              <w:bottom w:w="0" w:type="dxa"/>
            </w:tcMar>
            <w:vAlign w:val="center"/>
          </w:tcPr>
          <w:p w14:paraId="1597F3B8" w14:textId="77777777" w:rsidR="008E0448" w:rsidRDefault="00FF3140">
            <w:pPr>
              <w:keepNext/>
              <w:keepLines/>
              <w:jc w:val="right"/>
            </w:pPr>
            <w:r>
              <w:rPr>
                <w:sz w:val="18"/>
              </w:rPr>
              <w:t>21.293,45</w:t>
            </w:r>
          </w:p>
        </w:tc>
        <w:tc>
          <w:tcPr>
            <w:tcW w:w="1860" w:type="dxa"/>
            <w:tcMar>
              <w:top w:w="0" w:type="dxa"/>
              <w:bottom w:w="0" w:type="dxa"/>
            </w:tcMar>
            <w:vAlign w:val="center"/>
          </w:tcPr>
          <w:p w14:paraId="016D866E" w14:textId="77777777" w:rsidR="008E0448" w:rsidRDefault="00FF3140">
            <w:pPr>
              <w:keepNext/>
              <w:keepLines/>
              <w:jc w:val="right"/>
            </w:pPr>
            <w:r>
              <w:rPr>
                <w:sz w:val="18"/>
              </w:rPr>
              <w:t>38.176,90</w:t>
            </w:r>
          </w:p>
        </w:tc>
        <w:tc>
          <w:tcPr>
            <w:tcW w:w="700" w:type="dxa"/>
            <w:tcMar>
              <w:top w:w="0" w:type="dxa"/>
              <w:bottom w:w="0" w:type="dxa"/>
            </w:tcMar>
            <w:vAlign w:val="center"/>
          </w:tcPr>
          <w:p w14:paraId="61CAE05B" w14:textId="77777777" w:rsidR="008E0448" w:rsidRDefault="00FF3140">
            <w:pPr>
              <w:keepNext/>
              <w:keepLines/>
              <w:jc w:val="right"/>
            </w:pPr>
            <w:r>
              <w:rPr>
                <w:sz w:val="18"/>
              </w:rPr>
              <w:t>179,3</w:t>
            </w:r>
          </w:p>
        </w:tc>
      </w:tr>
    </w:tbl>
    <w:p w14:paraId="16E24704" w14:textId="77777777" w:rsidR="008E0448" w:rsidRDefault="008E0448"/>
    <w:p w14:paraId="01CB12EA" w14:textId="77777777" w:rsidR="008E0448" w:rsidRDefault="00FF3140">
      <w:r>
        <w:t>Povećanje prihoda od upravnih i administrativnih pristojbi, pristojbi po posebnim propisima i naknada u odnosu na isto razdoblje prethodne godine rezultat je većih prihoda ostvarenih od sufinanciranja cijene usluga, participacija i sličnih naknada. Povećan</w:t>
      </w:r>
      <w:r>
        <w:t>je se prvenstveno odnosi na prihode ostvarene od školske kuhinje, produženog boravka i glazbene škole.</w:t>
      </w:r>
    </w:p>
    <w:p w14:paraId="66A13FCC" w14:textId="77777777" w:rsidR="008E0448" w:rsidRDefault="008E0448"/>
    <w:p w14:paraId="53195611" w14:textId="77777777" w:rsidR="008E0448" w:rsidRDefault="00FF3140">
      <w:pPr>
        <w:keepNext/>
        <w:jc w:val="center"/>
      </w:pPr>
      <w:r>
        <w:rPr>
          <w:sz w:val="28"/>
        </w:rPr>
        <w:t>Bilješka 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53943F7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E07BCAB"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59DDB493"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29655E0B"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0D5A264"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EC39A5E"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105B8EE" w14:textId="77777777" w:rsidR="008E0448" w:rsidRDefault="00FF3140">
            <w:pPr>
              <w:keepNext/>
              <w:keepLines/>
              <w:jc w:val="center"/>
            </w:pPr>
            <w:r>
              <w:rPr>
                <w:b/>
                <w:sz w:val="18"/>
              </w:rPr>
              <w:t>I</w:t>
            </w:r>
            <w:r>
              <w:rPr>
                <w:b/>
                <w:sz w:val="18"/>
              </w:rPr>
              <w:t>ndeks (%)</w:t>
            </w:r>
          </w:p>
        </w:tc>
      </w:tr>
      <w:tr w:rsidR="008E0448" w14:paraId="62434788" w14:textId="77777777">
        <w:tblPrEx>
          <w:tblCellMar>
            <w:top w:w="0" w:type="dxa"/>
            <w:bottom w:w="0" w:type="dxa"/>
          </w:tblCellMar>
        </w:tblPrEx>
        <w:trPr>
          <w:cantSplit/>
          <w:trHeight w:val="560"/>
        </w:trPr>
        <w:tc>
          <w:tcPr>
            <w:tcW w:w="700" w:type="dxa"/>
            <w:tcMar>
              <w:top w:w="0" w:type="dxa"/>
              <w:bottom w:w="0" w:type="dxa"/>
            </w:tcMar>
            <w:vAlign w:val="center"/>
          </w:tcPr>
          <w:p w14:paraId="7953196F" w14:textId="77777777" w:rsidR="008E0448" w:rsidRDefault="00FF3140">
            <w:pPr>
              <w:keepNext/>
              <w:keepLines/>
            </w:pPr>
            <w:r>
              <w:rPr>
                <w:sz w:val="18"/>
              </w:rPr>
              <w:t>66</w:t>
            </w:r>
          </w:p>
        </w:tc>
        <w:tc>
          <w:tcPr>
            <w:tcW w:w="3180" w:type="dxa"/>
            <w:tcMar>
              <w:top w:w="0" w:type="dxa"/>
              <w:bottom w:w="0" w:type="dxa"/>
            </w:tcMar>
            <w:vAlign w:val="center"/>
          </w:tcPr>
          <w:p w14:paraId="0403A9E5" w14:textId="77777777" w:rsidR="008E0448" w:rsidRDefault="00FF3140">
            <w:pPr>
              <w:keepNext/>
              <w:keepLines/>
            </w:pPr>
            <w:r>
              <w:rPr>
                <w:sz w:val="18"/>
              </w:rPr>
              <w:t>Prihodi od prodaje proizvoda i robe te pruženih usluga, prihodi od donacija te povrati po protestiranim jamstvima (šifre 661+663)</w:t>
            </w:r>
          </w:p>
        </w:tc>
        <w:tc>
          <w:tcPr>
            <w:tcW w:w="700" w:type="dxa"/>
            <w:tcMar>
              <w:top w:w="0" w:type="dxa"/>
              <w:bottom w:w="0" w:type="dxa"/>
            </w:tcMar>
            <w:vAlign w:val="center"/>
          </w:tcPr>
          <w:p w14:paraId="1B995F54" w14:textId="77777777" w:rsidR="008E0448" w:rsidRDefault="00FF3140">
            <w:pPr>
              <w:keepNext/>
              <w:keepLines/>
            </w:pPr>
            <w:r>
              <w:rPr>
                <w:sz w:val="18"/>
              </w:rPr>
              <w:t>66</w:t>
            </w:r>
          </w:p>
        </w:tc>
        <w:tc>
          <w:tcPr>
            <w:tcW w:w="1860" w:type="dxa"/>
            <w:tcMar>
              <w:top w:w="0" w:type="dxa"/>
              <w:bottom w:w="0" w:type="dxa"/>
            </w:tcMar>
            <w:vAlign w:val="center"/>
          </w:tcPr>
          <w:p w14:paraId="65EAE8A3" w14:textId="77777777" w:rsidR="008E0448" w:rsidRDefault="00FF3140">
            <w:pPr>
              <w:keepNext/>
              <w:keepLines/>
              <w:jc w:val="right"/>
            </w:pPr>
            <w:r>
              <w:rPr>
                <w:sz w:val="18"/>
              </w:rPr>
              <w:t>9.949,26</w:t>
            </w:r>
          </w:p>
        </w:tc>
        <w:tc>
          <w:tcPr>
            <w:tcW w:w="1860" w:type="dxa"/>
            <w:tcMar>
              <w:top w:w="0" w:type="dxa"/>
              <w:bottom w:w="0" w:type="dxa"/>
            </w:tcMar>
            <w:vAlign w:val="center"/>
          </w:tcPr>
          <w:p w14:paraId="7FEBAE38" w14:textId="77777777" w:rsidR="008E0448" w:rsidRDefault="00FF3140">
            <w:pPr>
              <w:keepNext/>
              <w:keepLines/>
              <w:jc w:val="right"/>
            </w:pPr>
            <w:r>
              <w:rPr>
                <w:sz w:val="18"/>
              </w:rPr>
              <w:t>10.751,72</w:t>
            </w:r>
          </w:p>
        </w:tc>
        <w:tc>
          <w:tcPr>
            <w:tcW w:w="700" w:type="dxa"/>
            <w:tcMar>
              <w:top w:w="0" w:type="dxa"/>
              <w:bottom w:w="0" w:type="dxa"/>
            </w:tcMar>
            <w:vAlign w:val="center"/>
          </w:tcPr>
          <w:p w14:paraId="0F87A7F6" w14:textId="77777777" w:rsidR="008E0448" w:rsidRDefault="00FF3140">
            <w:pPr>
              <w:keepNext/>
              <w:keepLines/>
              <w:jc w:val="right"/>
            </w:pPr>
            <w:r>
              <w:rPr>
                <w:sz w:val="18"/>
              </w:rPr>
              <w:t>108,1</w:t>
            </w:r>
          </w:p>
        </w:tc>
      </w:tr>
    </w:tbl>
    <w:p w14:paraId="4A1C0AF7" w14:textId="77777777" w:rsidR="008E0448" w:rsidRDefault="008E0448"/>
    <w:p w14:paraId="30DD886A" w14:textId="77777777" w:rsidR="008E0448" w:rsidRDefault="00FF3140">
      <w:r>
        <w:lastRenderedPageBreak/>
        <w:t>Povećanje prihoda od prodaje proizvoda i robe te pruženih usluga, prihoda od donacija te povrata po protestiranim jamstvima posljedica je povećanja prihoda od pruženih usluga, odnosno većih prihoda ostvarenih od najma školske i gradske sportske dvorane tij</w:t>
      </w:r>
      <w:r>
        <w:t>ekom izvještajnog razdoblja.</w:t>
      </w:r>
    </w:p>
    <w:p w14:paraId="3DC70673" w14:textId="77777777" w:rsidR="008E0448" w:rsidRDefault="008E0448"/>
    <w:p w14:paraId="174F4F9C" w14:textId="77777777" w:rsidR="008E0448" w:rsidRDefault="00FF3140">
      <w:pPr>
        <w:keepNext/>
        <w:jc w:val="center"/>
      </w:pPr>
      <w:r>
        <w:rPr>
          <w:sz w:val="28"/>
        </w:rPr>
        <w:t>Bilješka 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401A8F23"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8ADC161"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1CE07870"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6A791E20"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4385AFBB"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AB3674E"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F8F1B63" w14:textId="77777777" w:rsidR="008E0448" w:rsidRDefault="00FF3140">
            <w:pPr>
              <w:keepNext/>
              <w:keepLines/>
              <w:jc w:val="center"/>
            </w:pPr>
            <w:r>
              <w:rPr>
                <w:b/>
                <w:sz w:val="18"/>
              </w:rPr>
              <w:t>Indeks (%)</w:t>
            </w:r>
          </w:p>
        </w:tc>
      </w:tr>
      <w:tr w:rsidR="008E0448" w14:paraId="1997678B" w14:textId="77777777">
        <w:tblPrEx>
          <w:tblCellMar>
            <w:top w:w="0" w:type="dxa"/>
            <w:bottom w:w="0" w:type="dxa"/>
          </w:tblCellMar>
        </w:tblPrEx>
        <w:trPr>
          <w:cantSplit/>
          <w:trHeight w:val="560"/>
        </w:trPr>
        <w:tc>
          <w:tcPr>
            <w:tcW w:w="700" w:type="dxa"/>
            <w:tcMar>
              <w:top w:w="0" w:type="dxa"/>
              <w:bottom w:w="0" w:type="dxa"/>
            </w:tcMar>
            <w:vAlign w:val="center"/>
          </w:tcPr>
          <w:p w14:paraId="55F21A50" w14:textId="77777777" w:rsidR="008E0448" w:rsidRDefault="00FF3140">
            <w:pPr>
              <w:keepNext/>
              <w:keepLines/>
            </w:pPr>
            <w:r>
              <w:rPr>
                <w:sz w:val="18"/>
              </w:rPr>
              <w:t>67</w:t>
            </w:r>
          </w:p>
        </w:tc>
        <w:tc>
          <w:tcPr>
            <w:tcW w:w="3180" w:type="dxa"/>
            <w:tcMar>
              <w:top w:w="0" w:type="dxa"/>
              <w:bottom w:w="0" w:type="dxa"/>
            </w:tcMar>
            <w:vAlign w:val="center"/>
          </w:tcPr>
          <w:p w14:paraId="43E85EC8" w14:textId="77777777" w:rsidR="008E0448" w:rsidRDefault="00FF3140">
            <w:pPr>
              <w:keepNext/>
              <w:keepLines/>
            </w:pPr>
            <w:r>
              <w:rPr>
                <w:sz w:val="18"/>
              </w:rPr>
              <w:t xml:space="preserve">Prihodi iz nadležnog proračuna i od HZZO-a na temelju </w:t>
            </w:r>
            <w:r>
              <w:rPr>
                <w:sz w:val="18"/>
              </w:rPr>
              <w:t>ugovornih obveza (šifre 671+673)</w:t>
            </w:r>
          </w:p>
        </w:tc>
        <w:tc>
          <w:tcPr>
            <w:tcW w:w="700" w:type="dxa"/>
            <w:tcMar>
              <w:top w:w="0" w:type="dxa"/>
              <w:bottom w:w="0" w:type="dxa"/>
            </w:tcMar>
            <w:vAlign w:val="center"/>
          </w:tcPr>
          <w:p w14:paraId="4488F1D4" w14:textId="77777777" w:rsidR="008E0448" w:rsidRDefault="00FF3140">
            <w:pPr>
              <w:keepNext/>
              <w:keepLines/>
            </w:pPr>
            <w:r>
              <w:rPr>
                <w:sz w:val="18"/>
              </w:rPr>
              <w:t>67</w:t>
            </w:r>
          </w:p>
        </w:tc>
        <w:tc>
          <w:tcPr>
            <w:tcW w:w="1860" w:type="dxa"/>
            <w:tcMar>
              <w:top w:w="0" w:type="dxa"/>
              <w:bottom w:w="0" w:type="dxa"/>
            </w:tcMar>
            <w:vAlign w:val="center"/>
          </w:tcPr>
          <w:p w14:paraId="54B21D51" w14:textId="77777777" w:rsidR="008E0448" w:rsidRDefault="00FF3140">
            <w:pPr>
              <w:keepNext/>
              <w:keepLines/>
              <w:jc w:val="right"/>
            </w:pPr>
            <w:r>
              <w:rPr>
                <w:sz w:val="18"/>
              </w:rPr>
              <w:t>305.067,97</w:t>
            </w:r>
          </w:p>
        </w:tc>
        <w:tc>
          <w:tcPr>
            <w:tcW w:w="1860" w:type="dxa"/>
            <w:tcMar>
              <w:top w:w="0" w:type="dxa"/>
              <w:bottom w:w="0" w:type="dxa"/>
            </w:tcMar>
            <w:vAlign w:val="center"/>
          </w:tcPr>
          <w:p w14:paraId="501B9B52" w14:textId="77777777" w:rsidR="008E0448" w:rsidRDefault="00FF3140">
            <w:pPr>
              <w:keepNext/>
              <w:keepLines/>
              <w:jc w:val="right"/>
            </w:pPr>
            <w:r>
              <w:rPr>
                <w:sz w:val="18"/>
              </w:rPr>
              <w:t>419.270,85</w:t>
            </w:r>
          </w:p>
        </w:tc>
        <w:tc>
          <w:tcPr>
            <w:tcW w:w="700" w:type="dxa"/>
            <w:tcMar>
              <w:top w:w="0" w:type="dxa"/>
              <w:bottom w:w="0" w:type="dxa"/>
            </w:tcMar>
            <w:vAlign w:val="center"/>
          </w:tcPr>
          <w:p w14:paraId="4E226C09" w14:textId="77777777" w:rsidR="008E0448" w:rsidRDefault="00FF3140">
            <w:pPr>
              <w:keepNext/>
              <w:keepLines/>
              <w:jc w:val="right"/>
            </w:pPr>
            <w:r>
              <w:rPr>
                <w:sz w:val="18"/>
              </w:rPr>
              <w:t>137,4</w:t>
            </w:r>
          </w:p>
        </w:tc>
      </w:tr>
    </w:tbl>
    <w:p w14:paraId="606C03E7" w14:textId="77777777" w:rsidR="008E0448" w:rsidRDefault="008E0448"/>
    <w:p w14:paraId="2ADEAEE7" w14:textId="77777777" w:rsidR="008E0448" w:rsidRDefault="00FF3140">
      <w:r>
        <w:t>Povećanje prihoda iz nadležnog proračuna za financiranje redovne djelatnosti proračunskih korisnika za 37,4 % u odnosu na isto razdoblje prethodne godine rezultat je većeg iznosa sredstava doznačenih za financiranje rashoda poslovanja. Navedeni prihodi naj</w:t>
      </w:r>
      <w:r>
        <w:t>većim se dijelom odnose na financiranje plaća učitelja u produženom boravku, kod kojih je došlo do povećanja osnovice za obračun plaće, te na financiranje 15 % troškova rada pomoćnika u nastavi koje osigurava osnivač. Povećanje prihoda također se odnosi na</w:t>
      </w:r>
      <w:r>
        <w:t xml:space="preserve"> financiranje troškova goriva za grijanje škole, s obzirom na to da se u ovom razdoblju više ne podmiruju troškovi toplinske energije.</w:t>
      </w:r>
    </w:p>
    <w:p w14:paraId="3BE8A2AB" w14:textId="77777777" w:rsidR="008E0448" w:rsidRDefault="008E0448"/>
    <w:p w14:paraId="66B55049" w14:textId="77777777" w:rsidR="008E0448" w:rsidRDefault="00FF3140">
      <w:pPr>
        <w:keepNext/>
        <w:jc w:val="center"/>
      </w:pPr>
      <w:r>
        <w:rPr>
          <w:sz w:val="28"/>
        </w:rPr>
        <w:t>Bilješka 10.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EB8E15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4D5FC60"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303FD262"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1B76B579"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41C9B74"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48848955" w14:textId="77777777" w:rsidR="008E0448" w:rsidRDefault="00FF3140">
            <w:pPr>
              <w:keepNext/>
              <w:keepLines/>
              <w:jc w:val="center"/>
            </w:pPr>
            <w:r>
              <w:rPr>
                <w:b/>
                <w:sz w:val="18"/>
              </w:rPr>
              <w:t>Ostvareno u izvje</w:t>
            </w:r>
            <w:r>
              <w:rPr>
                <w:b/>
                <w:sz w:val="18"/>
              </w:rPr>
              <w:t>štajnom razdoblju tekuće godine</w:t>
            </w:r>
          </w:p>
        </w:tc>
        <w:tc>
          <w:tcPr>
            <w:tcW w:w="700" w:type="dxa"/>
            <w:shd w:val="clear" w:color="auto" w:fill="E7F0F9"/>
            <w:tcMar>
              <w:top w:w="0" w:type="dxa"/>
              <w:bottom w:w="0" w:type="dxa"/>
            </w:tcMar>
            <w:vAlign w:val="center"/>
          </w:tcPr>
          <w:p w14:paraId="1F9553B4" w14:textId="77777777" w:rsidR="008E0448" w:rsidRDefault="00FF3140">
            <w:pPr>
              <w:keepNext/>
              <w:keepLines/>
              <w:jc w:val="center"/>
            </w:pPr>
            <w:r>
              <w:rPr>
                <w:b/>
                <w:sz w:val="18"/>
              </w:rPr>
              <w:t>Indeks (%)</w:t>
            </w:r>
          </w:p>
        </w:tc>
      </w:tr>
      <w:tr w:rsidR="008E0448" w14:paraId="4C80A6DA" w14:textId="77777777">
        <w:tblPrEx>
          <w:tblCellMar>
            <w:top w:w="0" w:type="dxa"/>
            <w:bottom w:w="0" w:type="dxa"/>
          </w:tblCellMar>
        </w:tblPrEx>
        <w:trPr>
          <w:cantSplit/>
          <w:trHeight w:val="560"/>
        </w:trPr>
        <w:tc>
          <w:tcPr>
            <w:tcW w:w="700" w:type="dxa"/>
            <w:tcMar>
              <w:top w:w="0" w:type="dxa"/>
              <w:bottom w:w="0" w:type="dxa"/>
            </w:tcMar>
            <w:vAlign w:val="center"/>
          </w:tcPr>
          <w:p w14:paraId="55AA260A" w14:textId="77777777" w:rsidR="008E0448" w:rsidRDefault="00FF3140">
            <w:pPr>
              <w:keepNext/>
              <w:keepLines/>
            </w:pPr>
            <w:r>
              <w:rPr>
                <w:sz w:val="18"/>
              </w:rPr>
              <w:t>32</w:t>
            </w:r>
          </w:p>
        </w:tc>
        <w:tc>
          <w:tcPr>
            <w:tcW w:w="3180" w:type="dxa"/>
            <w:tcMar>
              <w:top w:w="0" w:type="dxa"/>
              <w:bottom w:w="0" w:type="dxa"/>
            </w:tcMar>
            <w:vAlign w:val="center"/>
          </w:tcPr>
          <w:p w14:paraId="7B82407F" w14:textId="77777777" w:rsidR="008E0448" w:rsidRDefault="00FF3140">
            <w:pPr>
              <w:keepNext/>
              <w:keepLines/>
            </w:pPr>
            <w:r>
              <w:rPr>
                <w:sz w:val="18"/>
              </w:rPr>
              <w:t>Materijalni rashodi (šifre 321+322+323+324+325+329)</w:t>
            </w:r>
          </w:p>
        </w:tc>
        <w:tc>
          <w:tcPr>
            <w:tcW w:w="700" w:type="dxa"/>
            <w:tcMar>
              <w:top w:w="0" w:type="dxa"/>
              <w:bottom w:w="0" w:type="dxa"/>
            </w:tcMar>
            <w:vAlign w:val="center"/>
          </w:tcPr>
          <w:p w14:paraId="4EF1336F" w14:textId="77777777" w:rsidR="008E0448" w:rsidRDefault="00FF3140">
            <w:pPr>
              <w:keepNext/>
              <w:keepLines/>
            </w:pPr>
            <w:r>
              <w:rPr>
                <w:sz w:val="18"/>
              </w:rPr>
              <w:t>32</w:t>
            </w:r>
          </w:p>
        </w:tc>
        <w:tc>
          <w:tcPr>
            <w:tcW w:w="1860" w:type="dxa"/>
            <w:tcMar>
              <w:top w:w="0" w:type="dxa"/>
              <w:bottom w:w="0" w:type="dxa"/>
            </w:tcMar>
            <w:vAlign w:val="center"/>
          </w:tcPr>
          <w:p w14:paraId="164F075D" w14:textId="77777777" w:rsidR="008E0448" w:rsidRDefault="00FF3140">
            <w:pPr>
              <w:keepNext/>
              <w:keepLines/>
              <w:jc w:val="right"/>
            </w:pPr>
            <w:r>
              <w:rPr>
                <w:sz w:val="18"/>
              </w:rPr>
              <w:t>292.099,51</w:t>
            </w:r>
          </w:p>
        </w:tc>
        <w:tc>
          <w:tcPr>
            <w:tcW w:w="1860" w:type="dxa"/>
            <w:tcMar>
              <w:top w:w="0" w:type="dxa"/>
              <w:bottom w:w="0" w:type="dxa"/>
            </w:tcMar>
            <w:vAlign w:val="center"/>
          </w:tcPr>
          <w:p w14:paraId="70DA2CAF" w14:textId="77777777" w:rsidR="008E0448" w:rsidRDefault="00FF3140">
            <w:pPr>
              <w:keepNext/>
              <w:keepLines/>
              <w:jc w:val="right"/>
            </w:pPr>
            <w:r>
              <w:rPr>
                <w:sz w:val="18"/>
              </w:rPr>
              <w:t>328.158,79</w:t>
            </w:r>
          </w:p>
        </w:tc>
        <w:tc>
          <w:tcPr>
            <w:tcW w:w="700" w:type="dxa"/>
            <w:tcMar>
              <w:top w:w="0" w:type="dxa"/>
              <w:bottom w:w="0" w:type="dxa"/>
            </w:tcMar>
            <w:vAlign w:val="center"/>
          </w:tcPr>
          <w:p w14:paraId="7CF134B9" w14:textId="77777777" w:rsidR="008E0448" w:rsidRDefault="00FF3140">
            <w:pPr>
              <w:keepNext/>
              <w:keepLines/>
              <w:jc w:val="right"/>
            </w:pPr>
            <w:r>
              <w:rPr>
                <w:sz w:val="18"/>
              </w:rPr>
              <w:t>112,3</w:t>
            </w:r>
          </w:p>
        </w:tc>
      </w:tr>
    </w:tbl>
    <w:p w14:paraId="7E8DC698" w14:textId="77777777" w:rsidR="008E0448" w:rsidRDefault="008E0448"/>
    <w:p w14:paraId="2008A769" w14:textId="77777777" w:rsidR="008E0448" w:rsidRDefault="00FF3140">
      <w:r>
        <w:t>Povećanje materijalnih rashoda u odnosu na isto razdoblje prethodne godine za 12,3 % najvećim je dijelom rezultat povećanja rashoda za uredski i ostali materijal te materijal i dijelove za tekuće i investicijsko održavanje, uslijed povećanih potreba za red</w:t>
      </w:r>
      <w:r>
        <w:t>ovnim poslovanjem i održavanjem školskih objekata.</w:t>
      </w:r>
    </w:p>
    <w:p w14:paraId="070B3A18" w14:textId="77777777" w:rsidR="008E0448" w:rsidRDefault="008E0448"/>
    <w:p w14:paraId="54C0611E" w14:textId="77777777" w:rsidR="008E0448" w:rsidRDefault="00FF3140">
      <w:pPr>
        <w:keepNext/>
        <w:jc w:val="center"/>
      </w:pPr>
      <w:r>
        <w:rPr>
          <w:sz w:val="28"/>
        </w:rPr>
        <w:t>Bilješka 11.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878FDB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735A90CA"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74718DDD"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435C5A7C"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490822FC"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5832F284"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358E8B0B" w14:textId="77777777" w:rsidR="008E0448" w:rsidRDefault="00FF3140">
            <w:pPr>
              <w:keepNext/>
              <w:keepLines/>
              <w:jc w:val="center"/>
            </w:pPr>
            <w:r>
              <w:rPr>
                <w:b/>
                <w:sz w:val="18"/>
              </w:rPr>
              <w:t>Indeks (%)</w:t>
            </w:r>
          </w:p>
        </w:tc>
      </w:tr>
      <w:tr w:rsidR="008E0448" w14:paraId="1D95FD1E" w14:textId="77777777">
        <w:tblPrEx>
          <w:tblCellMar>
            <w:top w:w="0" w:type="dxa"/>
            <w:bottom w:w="0" w:type="dxa"/>
          </w:tblCellMar>
        </w:tblPrEx>
        <w:trPr>
          <w:cantSplit/>
          <w:trHeight w:val="560"/>
        </w:trPr>
        <w:tc>
          <w:tcPr>
            <w:tcW w:w="700" w:type="dxa"/>
            <w:tcMar>
              <w:top w:w="0" w:type="dxa"/>
              <w:bottom w:w="0" w:type="dxa"/>
            </w:tcMar>
            <w:vAlign w:val="center"/>
          </w:tcPr>
          <w:p w14:paraId="14AA0B5B" w14:textId="77777777" w:rsidR="008E0448" w:rsidRDefault="00FF3140">
            <w:pPr>
              <w:keepNext/>
              <w:keepLines/>
            </w:pPr>
            <w:r>
              <w:rPr>
                <w:sz w:val="18"/>
              </w:rPr>
              <w:t>3213</w:t>
            </w:r>
          </w:p>
        </w:tc>
        <w:tc>
          <w:tcPr>
            <w:tcW w:w="3180" w:type="dxa"/>
            <w:tcMar>
              <w:top w:w="0" w:type="dxa"/>
              <w:bottom w:w="0" w:type="dxa"/>
            </w:tcMar>
            <w:vAlign w:val="center"/>
          </w:tcPr>
          <w:p w14:paraId="5A826C89" w14:textId="77777777" w:rsidR="008E0448" w:rsidRDefault="00FF3140">
            <w:pPr>
              <w:keepNext/>
              <w:keepLines/>
            </w:pPr>
            <w:r>
              <w:rPr>
                <w:sz w:val="18"/>
              </w:rPr>
              <w:t xml:space="preserve">Stručno usavršavanje </w:t>
            </w:r>
            <w:r>
              <w:rPr>
                <w:sz w:val="18"/>
              </w:rPr>
              <w:t>zaposlenika</w:t>
            </w:r>
          </w:p>
        </w:tc>
        <w:tc>
          <w:tcPr>
            <w:tcW w:w="700" w:type="dxa"/>
            <w:tcMar>
              <w:top w:w="0" w:type="dxa"/>
              <w:bottom w:w="0" w:type="dxa"/>
            </w:tcMar>
            <w:vAlign w:val="center"/>
          </w:tcPr>
          <w:p w14:paraId="588AB2BD" w14:textId="77777777" w:rsidR="008E0448" w:rsidRDefault="00FF3140">
            <w:pPr>
              <w:keepNext/>
              <w:keepLines/>
            </w:pPr>
            <w:r>
              <w:rPr>
                <w:sz w:val="18"/>
              </w:rPr>
              <w:t>3213</w:t>
            </w:r>
          </w:p>
        </w:tc>
        <w:tc>
          <w:tcPr>
            <w:tcW w:w="1860" w:type="dxa"/>
            <w:tcMar>
              <w:top w:w="0" w:type="dxa"/>
              <w:bottom w:w="0" w:type="dxa"/>
            </w:tcMar>
            <w:vAlign w:val="center"/>
          </w:tcPr>
          <w:p w14:paraId="5BF7D6DF" w14:textId="77777777" w:rsidR="008E0448" w:rsidRDefault="00FF3140">
            <w:pPr>
              <w:keepNext/>
              <w:keepLines/>
              <w:jc w:val="right"/>
            </w:pPr>
            <w:r>
              <w:rPr>
                <w:sz w:val="18"/>
              </w:rPr>
              <w:t>1.451,35</w:t>
            </w:r>
          </w:p>
        </w:tc>
        <w:tc>
          <w:tcPr>
            <w:tcW w:w="1860" w:type="dxa"/>
            <w:tcMar>
              <w:top w:w="0" w:type="dxa"/>
              <w:bottom w:w="0" w:type="dxa"/>
            </w:tcMar>
            <w:vAlign w:val="center"/>
          </w:tcPr>
          <w:p w14:paraId="4DFB1D86" w14:textId="77777777" w:rsidR="008E0448" w:rsidRDefault="00FF3140">
            <w:pPr>
              <w:keepNext/>
              <w:keepLines/>
              <w:jc w:val="right"/>
            </w:pPr>
            <w:r>
              <w:rPr>
                <w:sz w:val="18"/>
              </w:rPr>
              <w:t>612,75</w:t>
            </w:r>
          </w:p>
        </w:tc>
        <w:tc>
          <w:tcPr>
            <w:tcW w:w="700" w:type="dxa"/>
            <w:tcMar>
              <w:top w:w="0" w:type="dxa"/>
              <w:bottom w:w="0" w:type="dxa"/>
            </w:tcMar>
            <w:vAlign w:val="center"/>
          </w:tcPr>
          <w:p w14:paraId="35A888D4" w14:textId="77777777" w:rsidR="008E0448" w:rsidRDefault="00FF3140">
            <w:pPr>
              <w:keepNext/>
              <w:keepLines/>
              <w:jc w:val="right"/>
            </w:pPr>
            <w:r>
              <w:rPr>
                <w:sz w:val="18"/>
              </w:rPr>
              <w:t>42,2</w:t>
            </w:r>
          </w:p>
        </w:tc>
      </w:tr>
    </w:tbl>
    <w:p w14:paraId="1E1C220C" w14:textId="77777777" w:rsidR="008E0448" w:rsidRDefault="008E0448"/>
    <w:p w14:paraId="3852D80A" w14:textId="77777777" w:rsidR="008E0448" w:rsidRDefault="00FF3140">
      <w:r>
        <w:t>Rashodi za stručno usavršavanje zaposlenika smanjeni su za 57,8 % u odnosu na isto razdoblje prethodne godine, budući da je najveći dio stručnih usavršavanja zaposlenika održan tijekom srpnja te pripadajući rashodi nisu obuhvaćeni ovim izvještajnim razdobl</w:t>
      </w:r>
      <w:r>
        <w:t>jem.</w:t>
      </w:r>
    </w:p>
    <w:p w14:paraId="5D36BB84" w14:textId="77777777" w:rsidR="008E0448" w:rsidRDefault="008E0448"/>
    <w:p w14:paraId="17C4A686" w14:textId="77777777" w:rsidR="008E0448" w:rsidRDefault="00FF3140">
      <w:pPr>
        <w:keepNext/>
        <w:jc w:val="center"/>
      </w:pPr>
      <w:r>
        <w:rPr>
          <w:sz w:val="28"/>
        </w:rPr>
        <w:lastRenderedPageBreak/>
        <w:t>Bilješka 12.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492E41E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E3527E9"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08490F8E"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75E68270"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27270A4F"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FC349D9"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21F4D8CF" w14:textId="77777777" w:rsidR="008E0448" w:rsidRDefault="00FF3140">
            <w:pPr>
              <w:keepNext/>
              <w:keepLines/>
              <w:jc w:val="center"/>
            </w:pPr>
            <w:r>
              <w:rPr>
                <w:b/>
                <w:sz w:val="18"/>
              </w:rPr>
              <w:t>Indeks (%)</w:t>
            </w:r>
          </w:p>
        </w:tc>
      </w:tr>
      <w:tr w:rsidR="008E0448" w14:paraId="1754EAEA" w14:textId="77777777">
        <w:tblPrEx>
          <w:tblCellMar>
            <w:top w:w="0" w:type="dxa"/>
            <w:bottom w:w="0" w:type="dxa"/>
          </w:tblCellMar>
        </w:tblPrEx>
        <w:trPr>
          <w:cantSplit/>
          <w:trHeight w:val="560"/>
        </w:trPr>
        <w:tc>
          <w:tcPr>
            <w:tcW w:w="700" w:type="dxa"/>
            <w:tcMar>
              <w:top w:w="0" w:type="dxa"/>
              <w:bottom w:w="0" w:type="dxa"/>
            </w:tcMar>
            <w:vAlign w:val="center"/>
          </w:tcPr>
          <w:p w14:paraId="0EA350C7" w14:textId="77777777" w:rsidR="008E0448" w:rsidRDefault="00FF3140">
            <w:pPr>
              <w:keepNext/>
              <w:keepLines/>
            </w:pPr>
            <w:r>
              <w:rPr>
                <w:sz w:val="18"/>
              </w:rPr>
              <w:t>3224</w:t>
            </w:r>
          </w:p>
        </w:tc>
        <w:tc>
          <w:tcPr>
            <w:tcW w:w="3180" w:type="dxa"/>
            <w:tcMar>
              <w:top w:w="0" w:type="dxa"/>
              <w:bottom w:w="0" w:type="dxa"/>
            </w:tcMar>
            <w:vAlign w:val="center"/>
          </w:tcPr>
          <w:p w14:paraId="2A5EA08F" w14:textId="77777777" w:rsidR="008E0448" w:rsidRDefault="00FF3140">
            <w:pPr>
              <w:keepNext/>
              <w:keepLines/>
            </w:pPr>
            <w:r>
              <w:rPr>
                <w:sz w:val="18"/>
              </w:rPr>
              <w:t>Materijal i dijelovi za tekuće i investicijsko održavanje</w:t>
            </w:r>
          </w:p>
        </w:tc>
        <w:tc>
          <w:tcPr>
            <w:tcW w:w="700" w:type="dxa"/>
            <w:tcMar>
              <w:top w:w="0" w:type="dxa"/>
              <w:bottom w:w="0" w:type="dxa"/>
            </w:tcMar>
            <w:vAlign w:val="center"/>
          </w:tcPr>
          <w:p w14:paraId="0B42659E" w14:textId="77777777" w:rsidR="008E0448" w:rsidRDefault="00FF3140">
            <w:pPr>
              <w:keepNext/>
              <w:keepLines/>
            </w:pPr>
            <w:r>
              <w:rPr>
                <w:sz w:val="18"/>
              </w:rPr>
              <w:t>3224</w:t>
            </w:r>
          </w:p>
        </w:tc>
        <w:tc>
          <w:tcPr>
            <w:tcW w:w="1860" w:type="dxa"/>
            <w:tcMar>
              <w:top w:w="0" w:type="dxa"/>
              <w:bottom w:w="0" w:type="dxa"/>
            </w:tcMar>
            <w:vAlign w:val="center"/>
          </w:tcPr>
          <w:p w14:paraId="0D4125CF" w14:textId="77777777" w:rsidR="008E0448" w:rsidRDefault="00FF3140">
            <w:pPr>
              <w:keepNext/>
              <w:keepLines/>
              <w:jc w:val="right"/>
            </w:pPr>
            <w:r>
              <w:rPr>
                <w:sz w:val="18"/>
              </w:rPr>
              <w:t>2.491,91</w:t>
            </w:r>
          </w:p>
        </w:tc>
        <w:tc>
          <w:tcPr>
            <w:tcW w:w="1860" w:type="dxa"/>
            <w:tcMar>
              <w:top w:w="0" w:type="dxa"/>
              <w:bottom w:w="0" w:type="dxa"/>
            </w:tcMar>
            <w:vAlign w:val="center"/>
          </w:tcPr>
          <w:p w14:paraId="17542DA6" w14:textId="77777777" w:rsidR="008E0448" w:rsidRDefault="00FF3140">
            <w:pPr>
              <w:keepNext/>
              <w:keepLines/>
              <w:jc w:val="right"/>
            </w:pPr>
            <w:r>
              <w:rPr>
                <w:sz w:val="18"/>
              </w:rPr>
              <w:t>5.038,14</w:t>
            </w:r>
          </w:p>
        </w:tc>
        <w:tc>
          <w:tcPr>
            <w:tcW w:w="700" w:type="dxa"/>
            <w:tcMar>
              <w:top w:w="0" w:type="dxa"/>
              <w:bottom w:w="0" w:type="dxa"/>
            </w:tcMar>
            <w:vAlign w:val="center"/>
          </w:tcPr>
          <w:p w14:paraId="1367FCAB" w14:textId="77777777" w:rsidR="008E0448" w:rsidRDefault="00FF3140">
            <w:pPr>
              <w:keepNext/>
              <w:keepLines/>
              <w:jc w:val="right"/>
            </w:pPr>
            <w:r>
              <w:rPr>
                <w:sz w:val="18"/>
              </w:rPr>
              <w:t>202,2</w:t>
            </w:r>
          </w:p>
        </w:tc>
      </w:tr>
    </w:tbl>
    <w:p w14:paraId="2FC4CEBA" w14:textId="77777777" w:rsidR="008E0448" w:rsidRDefault="008E0448"/>
    <w:p w14:paraId="2C3B867F" w14:textId="77777777" w:rsidR="008E0448" w:rsidRDefault="00FF3140">
      <w:r>
        <w:t>Povećanje rashoda za materijal i dijelove za tekuće i investicijsko održavanje rezultat je većih potreba za izvođenjem radova tekućeg i investicijskog održavanja školskih objekata i opreme tijekom izvještajnog razdoblja, zbog čega je nabavljena veća količi</w:t>
      </w:r>
      <w:r>
        <w:t>na potrebnog materijala i dijelova.</w:t>
      </w:r>
    </w:p>
    <w:p w14:paraId="02A37036" w14:textId="77777777" w:rsidR="008E0448" w:rsidRDefault="008E0448"/>
    <w:p w14:paraId="53147253" w14:textId="77777777" w:rsidR="008E0448" w:rsidRDefault="00FF3140">
      <w:pPr>
        <w:keepNext/>
        <w:jc w:val="center"/>
      </w:pPr>
      <w:r>
        <w:rPr>
          <w:sz w:val="28"/>
        </w:rPr>
        <w:t>Bilješka 13.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6512E2B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5272C886"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18839C84"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0C1833A5"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1782038E"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71CF246B"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32B501CD" w14:textId="77777777" w:rsidR="008E0448" w:rsidRDefault="00FF3140">
            <w:pPr>
              <w:keepNext/>
              <w:keepLines/>
              <w:jc w:val="center"/>
            </w:pPr>
            <w:r>
              <w:rPr>
                <w:b/>
                <w:sz w:val="18"/>
              </w:rPr>
              <w:t>Indeks (%)</w:t>
            </w:r>
          </w:p>
        </w:tc>
      </w:tr>
      <w:tr w:rsidR="008E0448" w14:paraId="20574DA7" w14:textId="77777777">
        <w:tblPrEx>
          <w:tblCellMar>
            <w:top w:w="0" w:type="dxa"/>
            <w:bottom w:w="0" w:type="dxa"/>
          </w:tblCellMar>
        </w:tblPrEx>
        <w:trPr>
          <w:cantSplit/>
          <w:trHeight w:val="560"/>
        </w:trPr>
        <w:tc>
          <w:tcPr>
            <w:tcW w:w="700" w:type="dxa"/>
            <w:tcMar>
              <w:top w:w="0" w:type="dxa"/>
              <w:bottom w:w="0" w:type="dxa"/>
            </w:tcMar>
            <w:vAlign w:val="center"/>
          </w:tcPr>
          <w:p w14:paraId="2090B777" w14:textId="77777777" w:rsidR="008E0448" w:rsidRDefault="00FF3140">
            <w:pPr>
              <w:keepNext/>
              <w:keepLines/>
            </w:pPr>
            <w:r>
              <w:rPr>
                <w:sz w:val="18"/>
              </w:rPr>
              <w:t>323</w:t>
            </w:r>
          </w:p>
        </w:tc>
        <w:tc>
          <w:tcPr>
            <w:tcW w:w="3180" w:type="dxa"/>
            <w:tcMar>
              <w:top w:w="0" w:type="dxa"/>
              <w:bottom w:w="0" w:type="dxa"/>
            </w:tcMar>
            <w:vAlign w:val="center"/>
          </w:tcPr>
          <w:p w14:paraId="6ADB050D" w14:textId="77777777" w:rsidR="008E0448" w:rsidRDefault="00FF3140">
            <w:pPr>
              <w:keepNext/>
              <w:keepLines/>
            </w:pPr>
            <w:r>
              <w:rPr>
                <w:sz w:val="18"/>
              </w:rPr>
              <w:t>Rashodi za usluge (šifre 3231 do 3239)</w:t>
            </w:r>
          </w:p>
        </w:tc>
        <w:tc>
          <w:tcPr>
            <w:tcW w:w="700" w:type="dxa"/>
            <w:tcMar>
              <w:top w:w="0" w:type="dxa"/>
              <w:bottom w:w="0" w:type="dxa"/>
            </w:tcMar>
            <w:vAlign w:val="center"/>
          </w:tcPr>
          <w:p w14:paraId="6F5DC618" w14:textId="77777777" w:rsidR="008E0448" w:rsidRDefault="00FF3140">
            <w:pPr>
              <w:keepNext/>
              <w:keepLines/>
            </w:pPr>
            <w:r>
              <w:rPr>
                <w:sz w:val="18"/>
              </w:rPr>
              <w:t>323</w:t>
            </w:r>
          </w:p>
        </w:tc>
        <w:tc>
          <w:tcPr>
            <w:tcW w:w="1860" w:type="dxa"/>
            <w:tcMar>
              <w:top w:w="0" w:type="dxa"/>
              <w:bottom w:w="0" w:type="dxa"/>
            </w:tcMar>
            <w:vAlign w:val="center"/>
          </w:tcPr>
          <w:p w14:paraId="7B858904" w14:textId="77777777" w:rsidR="008E0448" w:rsidRDefault="00FF3140">
            <w:pPr>
              <w:keepNext/>
              <w:keepLines/>
              <w:jc w:val="right"/>
            </w:pPr>
            <w:r>
              <w:rPr>
                <w:sz w:val="18"/>
              </w:rPr>
              <w:t>32.093,91</w:t>
            </w:r>
          </w:p>
        </w:tc>
        <w:tc>
          <w:tcPr>
            <w:tcW w:w="1860" w:type="dxa"/>
            <w:tcMar>
              <w:top w:w="0" w:type="dxa"/>
              <w:bottom w:w="0" w:type="dxa"/>
            </w:tcMar>
            <w:vAlign w:val="center"/>
          </w:tcPr>
          <w:p w14:paraId="4CE659DC" w14:textId="77777777" w:rsidR="008E0448" w:rsidRDefault="00FF3140">
            <w:pPr>
              <w:keepNext/>
              <w:keepLines/>
              <w:jc w:val="right"/>
            </w:pPr>
            <w:r>
              <w:rPr>
                <w:sz w:val="18"/>
              </w:rPr>
              <w:t>54.119,29</w:t>
            </w:r>
          </w:p>
        </w:tc>
        <w:tc>
          <w:tcPr>
            <w:tcW w:w="700" w:type="dxa"/>
            <w:tcMar>
              <w:top w:w="0" w:type="dxa"/>
              <w:bottom w:w="0" w:type="dxa"/>
            </w:tcMar>
            <w:vAlign w:val="center"/>
          </w:tcPr>
          <w:p w14:paraId="3C122D0E" w14:textId="77777777" w:rsidR="008E0448" w:rsidRDefault="00FF3140">
            <w:pPr>
              <w:keepNext/>
              <w:keepLines/>
              <w:jc w:val="right"/>
            </w:pPr>
            <w:r>
              <w:rPr>
                <w:sz w:val="18"/>
              </w:rPr>
              <w:t>168,6</w:t>
            </w:r>
          </w:p>
        </w:tc>
      </w:tr>
    </w:tbl>
    <w:p w14:paraId="504AB1CB" w14:textId="77777777" w:rsidR="008E0448" w:rsidRDefault="008E0448"/>
    <w:p w14:paraId="5C93A671" w14:textId="77777777" w:rsidR="008E0448" w:rsidRDefault="00FF3140">
      <w:r>
        <w:t xml:space="preserve">Povećanje rashoda za usluge za 68,6 % u odnosu na isto razdoblje prethodne godine najvećim je dijelom rezultat povećanja rashoda za komunalne usluge, zdravstvene i veterinarske usluge te računalne usluge. Na povećanje su dodatno utjecali i veći rashodi za </w:t>
      </w:r>
      <w:r>
        <w:t>intelektualne i osobne usluge, dok su rashodi za usluge telefona, interneta, pošte i prijevoza te usluge tekućeg i investicijskog održavanja ostvareni u manjem iznosu u odnosu na isto razdoblje prethodne godine.</w:t>
      </w:r>
    </w:p>
    <w:p w14:paraId="276513E5" w14:textId="77777777" w:rsidR="008E0448" w:rsidRDefault="008E0448"/>
    <w:p w14:paraId="6BB8FFAC" w14:textId="77777777" w:rsidR="008E0448" w:rsidRDefault="00FF3140">
      <w:pPr>
        <w:keepNext/>
        <w:jc w:val="center"/>
      </w:pPr>
      <w:r>
        <w:rPr>
          <w:sz w:val="28"/>
        </w:rPr>
        <w:t>Bilješka 14.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0B14E4D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3354E44"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1F084605" w14:textId="77777777" w:rsidR="008E0448" w:rsidRDefault="00FF3140">
            <w:pPr>
              <w:keepNext/>
              <w:keepLines/>
              <w:jc w:val="center"/>
            </w:pPr>
            <w:r>
              <w:rPr>
                <w:b/>
                <w:sz w:val="18"/>
              </w:rPr>
              <w:t>Opis stavk</w:t>
            </w:r>
            <w:r>
              <w:rPr>
                <w:b/>
                <w:sz w:val="18"/>
              </w:rPr>
              <w:t>e</w:t>
            </w:r>
          </w:p>
        </w:tc>
        <w:tc>
          <w:tcPr>
            <w:tcW w:w="700" w:type="dxa"/>
            <w:shd w:val="clear" w:color="auto" w:fill="E7F0F9"/>
            <w:tcMar>
              <w:top w:w="0" w:type="dxa"/>
              <w:bottom w:w="0" w:type="dxa"/>
            </w:tcMar>
            <w:vAlign w:val="center"/>
          </w:tcPr>
          <w:p w14:paraId="1B72F3F4"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24058BB8"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3CDCE8A"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9793C8F" w14:textId="77777777" w:rsidR="008E0448" w:rsidRDefault="00FF3140">
            <w:pPr>
              <w:keepNext/>
              <w:keepLines/>
              <w:jc w:val="center"/>
            </w:pPr>
            <w:r>
              <w:rPr>
                <w:b/>
                <w:sz w:val="18"/>
              </w:rPr>
              <w:t>Indeks (%)</w:t>
            </w:r>
          </w:p>
        </w:tc>
      </w:tr>
      <w:tr w:rsidR="008E0448" w14:paraId="2B619C31" w14:textId="77777777">
        <w:tblPrEx>
          <w:tblCellMar>
            <w:top w:w="0" w:type="dxa"/>
            <w:bottom w:w="0" w:type="dxa"/>
          </w:tblCellMar>
        </w:tblPrEx>
        <w:trPr>
          <w:cantSplit/>
          <w:trHeight w:val="560"/>
        </w:trPr>
        <w:tc>
          <w:tcPr>
            <w:tcW w:w="700" w:type="dxa"/>
            <w:tcMar>
              <w:top w:w="0" w:type="dxa"/>
              <w:bottom w:w="0" w:type="dxa"/>
            </w:tcMar>
            <w:vAlign w:val="center"/>
          </w:tcPr>
          <w:p w14:paraId="3B9AAF24" w14:textId="77777777" w:rsidR="008E0448" w:rsidRDefault="00FF3140">
            <w:pPr>
              <w:keepNext/>
              <w:keepLines/>
            </w:pPr>
            <w:r>
              <w:rPr>
                <w:sz w:val="18"/>
              </w:rPr>
              <w:t>3234</w:t>
            </w:r>
          </w:p>
        </w:tc>
        <w:tc>
          <w:tcPr>
            <w:tcW w:w="3180" w:type="dxa"/>
            <w:tcMar>
              <w:top w:w="0" w:type="dxa"/>
              <w:bottom w:w="0" w:type="dxa"/>
            </w:tcMar>
            <w:vAlign w:val="center"/>
          </w:tcPr>
          <w:p w14:paraId="383DDF08" w14:textId="77777777" w:rsidR="008E0448" w:rsidRDefault="00FF3140">
            <w:pPr>
              <w:keepNext/>
              <w:keepLines/>
            </w:pPr>
            <w:r>
              <w:rPr>
                <w:sz w:val="18"/>
              </w:rPr>
              <w:t>Komunalne usluge</w:t>
            </w:r>
          </w:p>
        </w:tc>
        <w:tc>
          <w:tcPr>
            <w:tcW w:w="700" w:type="dxa"/>
            <w:tcMar>
              <w:top w:w="0" w:type="dxa"/>
              <w:bottom w:w="0" w:type="dxa"/>
            </w:tcMar>
            <w:vAlign w:val="center"/>
          </w:tcPr>
          <w:p w14:paraId="38A1FF69" w14:textId="77777777" w:rsidR="008E0448" w:rsidRDefault="00FF3140">
            <w:pPr>
              <w:keepNext/>
              <w:keepLines/>
            </w:pPr>
            <w:r>
              <w:rPr>
                <w:sz w:val="18"/>
              </w:rPr>
              <w:t>3234</w:t>
            </w:r>
          </w:p>
        </w:tc>
        <w:tc>
          <w:tcPr>
            <w:tcW w:w="1860" w:type="dxa"/>
            <w:tcMar>
              <w:top w:w="0" w:type="dxa"/>
              <w:bottom w:w="0" w:type="dxa"/>
            </w:tcMar>
            <w:vAlign w:val="center"/>
          </w:tcPr>
          <w:p w14:paraId="39D04041" w14:textId="77777777" w:rsidR="008E0448" w:rsidRDefault="00FF3140">
            <w:pPr>
              <w:keepNext/>
              <w:keepLines/>
              <w:jc w:val="right"/>
            </w:pPr>
            <w:r>
              <w:rPr>
                <w:sz w:val="18"/>
              </w:rPr>
              <w:t>11.467,96</w:t>
            </w:r>
          </w:p>
        </w:tc>
        <w:tc>
          <w:tcPr>
            <w:tcW w:w="1860" w:type="dxa"/>
            <w:tcMar>
              <w:top w:w="0" w:type="dxa"/>
              <w:bottom w:w="0" w:type="dxa"/>
            </w:tcMar>
            <w:vAlign w:val="center"/>
          </w:tcPr>
          <w:p w14:paraId="053DC0AE" w14:textId="77777777" w:rsidR="008E0448" w:rsidRDefault="00FF3140">
            <w:pPr>
              <w:keepNext/>
              <w:keepLines/>
              <w:jc w:val="right"/>
            </w:pPr>
            <w:r>
              <w:rPr>
                <w:sz w:val="18"/>
              </w:rPr>
              <w:t>24.089,76</w:t>
            </w:r>
          </w:p>
        </w:tc>
        <w:tc>
          <w:tcPr>
            <w:tcW w:w="700" w:type="dxa"/>
            <w:tcMar>
              <w:top w:w="0" w:type="dxa"/>
              <w:bottom w:w="0" w:type="dxa"/>
            </w:tcMar>
            <w:vAlign w:val="center"/>
          </w:tcPr>
          <w:p w14:paraId="2D157621" w14:textId="77777777" w:rsidR="008E0448" w:rsidRDefault="00FF3140">
            <w:pPr>
              <w:keepNext/>
              <w:keepLines/>
              <w:jc w:val="right"/>
            </w:pPr>
            <w:r>
              <w:rPr>
                <w:sz w:val="18"/>
              </w:rPr>
              <w:t>210,1</w:t>
            </w:r>
          </w:p>
        </w:tc>
      </w:tr>
    </w:tbl>
    <w:p w14:paraId="5AB1D339" w14:textId="77777777" w:rsidR="008E0448" w:rsidRDefault="008E0448"/>
    <w:p w14:paraId="73012039" w14:textId="77777777" w:rsidR="008E0448" w:rsidRDefault="00FF3140">
      <w:r>
        <w:t>Rashodi za komunalne usluge povećani su za 110,1 % u odnosu na isto razdoblje prethodne godine zbog povećanja cijena komunalnih usluga te većih troškova odvoza otpada, uključujući više narudžbi odvoza otpada nakon provođenja aktivnosti čišćenja školskih pr</w:t>
      </w:r>
      <w:r>
        <w:t>ostora.</w:t>
      </w:r>
    </w:p>
    <w:p w14:paraId="0D3E27D7" w14:textId="77777777" w:rsidR="008E0448" w:rsidRDefault="008E0448"/>
    <w:p w14:paraId="248B23C5" w14:textId="77777777" w:rsidR="008E0448" w:rsidRDefault="00FF3140">
      <w:pPr>
        <w:keepNext/>
        <w:jc w:val="center"/>
      </w:pPr>
      <w:r>
        <w:rPr>
          <w:sz w:val="28"/>
        </w:rPr>
        <w:t>Bilješka 15.</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0797E519"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08E80D0B"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4949159E"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13CF3833"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0FABC24A"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4B49487B"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556E67FB" w14:textId="77777777" w:rsidR="008E0448" w:rsidRDefault="00FF3140">
            <w:pPr>
              <w:keepNext/>
              <w:keepLines/>
              <w:jc w:val="center"/>
            </w:pPr>
            <w:r>
              <w:rPr>
                <w:b/>
                <w:sz w:val="18"/>
              </w:rPr>
              <w:t>Indeks (%)</w:t>
            </w:r>
          </w:p>
        </w:tc>
      </w:tr>
      <w:tr w:rsidR="008E0448" w14:paraId="56A843BF" w14:textId="77777777">
        <w:tblPrEx>
          <w:tblCellMar>
            <w:top w:w="0" w:type="dxa"/>
            <w:bottom w:w="0" w:type="dxa"/>
          </w:tblCellMar>
        </w:tblPrEx>
        <w:trPr>
          <w:cantSplit/>
          <w:trHeight w:val="560"/>
        </w:trPr>
        <w:tc>
          <w:tcPr>
            <w:tcW w:w="700" w:type="dxa"/>
            <w:tcMar>
              <w:top w:w="0" w:type="dxa"/>
              <w:bottom w:w="0" w:type="dxa"/>
            </w:tcMar>
            <w:vAlign w:val="center"/>
          </w:tcPr>
          <w:p w14:paraId="693CAC8C" w14:textId="77777777" w:rsidR="008E0448" w:rsidRDefault="00FF3140">
            <w:pPr>
              <w:keepNext/>
              <w:keepLines/>
            </w:pPr>
            <w:r>
              <w:rPr>
                <w:sz w:val="18"/>
              </w:rPr>
              <w:t>3238</w:t>
            </w:r>
          </w:p>
        </w:tc>
        <w:tc>
          <w:tcPr>
            <w:tcW w:w="3180" w:type="dxa"/>
            <w:tcMar>
              <w:top w:w="0" w:type="dxa"/>
              <w:bottom w:w="0" w:type="dxa"/>
            </w:tcMar>
            <w:vAlign w:val="center"/>
          </w:tcPr>
          <w:p w14:paraId="57B4671A" w14:textId="77777777" w:rsidR="008E0448" w:rsidRDefault="00FF3140">
            <w:pPr>
              <w:keepNext/>
              <w:keepLines/>
            </w:pPr>
            <w:r>
              <w:rPr>
                <w:sz w:val="18"/>
              </w:rPr>
              <w:t>Računalne usluge</w:t>
            </w:r>
          </w:p>
        </w:tc>
        <w:tc>
          <w:tcPr>
            <w:tcW w:w="700" w:type="dxa"/>
            <w:tcMar>
              <w:top w:w="0" w:type="dxa"/>
              <w:bottom w:w="0" w:type="dxa"/>
            </w:tcMar>
            <w:vAlign w:val="center"/>
          </w:tcPr>
          <w:p w14:paraId="3EE42E08" w14:textId="77777777" w:rsidR="008E0448" w:rsidRDefault="00FF3140">
            <w:pPr>
              <w:keepNext/>
              <w:keepLines/>
            </w:pPr>
            <w:r>
              <w:rPr>
                <w:sz w:val="18"/>
              </w:rPr>
              <w:t>3238</w:t>
            </w:r>
          </w:p>
        </w:tc>
        <w:tc>
          <w:tcPr>
            <w:tcW w:w="1860" w:type="dxa"/>
            <w:tcMar>
              <w:top w:w="0" w:type="dxa"/>
              <w:bottom w:w="0" w:type="dxa"/>
            </w:tcMar>
            <w:vAlign w:val="center"/>
          </w:tcPr>
          <w:p w14:paraId="52C6BDB9" w14:textId="77777777" w:rsidR="008E0448" w:rsidRDefault="00FF3140">
            <w:pPr>
              <w:keepNext/>
              <w:keepLines/>
              <w:jc w:val="right"/>
            </w:pPr>
            <w:r>
              <w:rPr>
                <w:sz w:val="18"/>
              </w:rPr>
              <w:t>612,77</w:t>
            </w:r>
          </w:p>
        </w:tc>
        <w:tc>
          <w:tcPr>
            <w:tcW w:w="1860" w:type="dxa"/>
            <w:tcMar>
              <w:top w:w="0" w:type="dxa"/>
              <w:bottom w:w="0" w:type="dxa"/>
            </w:tcMar>
            <w:vAlign w:val="center"/>
          </w:tcPr>
          <w:p w14:paraId="2D6953BA" w14:textId="77777777" w:rsidR="008E0448" w:rsidRDefault="00FF3140">
            <w:pPr>
              <w:keepNext/>
              <w:keepLines/>
              <w:jc w:val="right"/>
            </w:pPr>
            <w:r>
              <w:rPr>
                <w:sz w:val="18"/>
              </w:rPr>
              <w:t>4.873,84</w:t>
            </w:r>
          </w:p>
        </w:tc>
        <w:tc>
          <w:tcPr>
            <w:tcW w:w="700" w:type="dxa"/>
            <w:tcMar>
              <w:top w:w="0" w:type="dxa"/>
              <w:bottom w:w="0" w:type="dxa"/>
            </w:tcMar>
            <w:vAlign w:val="center"/>
          </w:tcPr>
          <w:p w14:paraId="3CBDC12A" w14:textId="77777777" w:rsidR="008E0448" w:rsidRDefault="00FF3140">
            <w:pPr>
              <w:keepNext/>
              <w:keepLines/>
              <w:jc w:val="right"/>
            </w:pPr>
            <w:r>
              <w:rPr>
                <w:sz w:val="18"/>
              </w:rPr>
              <w:t>795,4</w:t>
            </w:r>
          </w:p>
        </w:tc>
      </w:tr>
    </w:tbl>
    <w:p w14:paraId="103BC7E9" w14:textId="77777777" w:rsidR="008E0448" w:rsidRDefault="008E0448"/>
    <w:p w14:paraId="60710118" w14:textId="77777777" w:rsidR="008E0448" w:rsidRDefault="00FF3140">
      <w:r>
        <w:t>Rashodi za računalne usluge višestruko su povećani u odnosu na isto razdoblje prethodne godine zbog prelaska na novi računovodstveni program, pri čemu su se tijekom prijelaznog razdoblja istodobno podmirivali troškovi korištenja starog i novog programa. Na</w:t>
      </w:r>
      <w:r>
        <w:t xml:space="preserve"> povećanje rashoda </w:t>
      </w:r>
      <w:r>
        <w:lastRenderedPageBreak/>
        <w:t>dodatno su utjecali troškovi korištenja dodatnih usluga programa, uključujući izdavanje skupnih opomena i druge usluge informatičke podrške potrebne za redovno poslovanje Škole.</w:t>
      </w:r>
    </w:p>
    <w:p w14:paraId="6A43F28C" w14:textId="77777777" w:rsidR="008E0448" w:rsidRDefault="008E0448"/>
    <w:p w14:paraId="4BBCD63A" w14:textId="77777777" w:rsidR="008E0448" w:rsidRDefault="00FF3140">
      <w:pPr>
        <w:keepNext/>
        <w:jc w:val="center"/>
      </w:pPr>
      <w:r>
        <w:rPr>
          <w:sz w:val="28"/>
        </w:rPr>
        <w:t>Bilješka 16.</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64FF2904"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26734218"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2EBB5016"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62FC2CC3"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7F4E2DB2" w14:textId="77777777" w:rsidR="008E0448" w:rsidRDefault="00FF3140">
            <w:pPr>
              <w:keepNext/>
              <w:keepLines/>
              <w:jc w:val="center"/>
            </w:pPr>
            <w:r>
              <w:rPr>
                <w:b/>
                <w:sz w:val="18"/>
              </w:rPr>
              <w:t>Ostvare</w:t>
            </w:r>
            <w:r>
              <w:rPr>
                <w:b/>
                <w:sz w:val="18"/>
              </w:rPr>
              <w:t>no u izvještajnom razdoblju prethodne godine</w:t>
            </w:r>
          </w:p>
        </w:tc>
        <w:tc>
          <w:tcPr>
            <w:tcW w:w="1860" w:type="dxa"/>
            <w:shd w:val="clear" w:color="auto" w:fill="E7F0F9"/>
            <w:tcMar>
              <w:top w:w="0" w:type="dxa"/>
              <w:bottom w:w="0" w:type="dxa"/>
            </w:tcMar>
            <w:vAlign w:val="center"/>
          </w:tcPr>
          <w:p w14:paraId="753C0557"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1AA5C83A" w14:textId="77777777" w:rsidR="008E0448" w:rsidRDefault="00FF3140">
            <w:pPr>
              <w:keepNext/>
              <w:keepLines/>
              <w:jc w:val="center"/>
            </w:pPr>
            <w:r>
              <w:rPr>
                <w:b/>
                <w:sz w:val="18"/>
              </w:rPr>
              <w:t>Indeks (%)</w:t>
            </w:r>
          </w:p>
        </w:tc>
      </w:tr>
      <w:tr w:rsidR="008E0448" w14:paraId="75002321" w14:textId="77777777">
        <w:tblPrEx>
          <w:tblCellMar>
            <w:top w:w="0" w:type="dxa"/>
            <w:bottom w:w="0" w:type="dxa"/>
          </w:tblCellMar>
        </w:tblPrEx>
        <w:trPr>
          <w:cantSplit/>
          <w:trHeight w:val="560"/>
        </w:trPr>
        <w:tc>
          <w:tcPr>
            <w:tcW w:w="700" w:type="dxa"/>
            <w:tcMar>
              <w:top w:w="0" w:type="dxa"/>
              <w:bottom w:w="0" w:type="dxa"/>
            </w:tcMar>
            <w:vAlign w:val="center"/>
          </w:tcPr>
          <w:p w14:paraId="2BD57764" w14:textId="77777777" w:rsidR="008E0448" w:rsidRDefault="00FF3140">
            <w:pPr>
              <w:keepNext/>
              <w:keepLines/>
            </w:pPr>
            <w:r>
              <w:rPr>
                <w:sz w:val="18"/>
              </w:rPr>
              <w:t>3239</w:t>
            </w:r>
          </w:p>
        </w:tc>
        <w:tc>
          <w:tcPr>
            <w:tcW w:w="3180" w:type="dxa"/>
            <w:tcMar>
              <w:top w:w="0" w:type="dxa"/>
              <w:bottom w:w="0" w:type="dxa"/>
            </w:tcMar>
            <w:vAlign w:val="center"/>
          </w:tcPr>
          <w:p w14:paraId="3751F140" w14:textId="77777777" w:rsidR="008E0448" w:rsidRDefault="00FF3140">
            <w:pPr>
              <w:keepNext/>
              <w:keepLines/>
            </w:pPr>
            <w:r>
              <w:rPr>
                <w:sz w:val="18"/>
              </w:rPr>
              <w:t>Ostale usluge</w:t>
            </w:r>
          </w:p>
        </w:tc>
        <w:tc>
          <w:tcPr>
            <w:tcW w:w="700" w:type="dxa"/>
            <w:tcMar>
              <w:top w:w="0" w:type="dxa"/>
              <w:bottom w:w="0" w:type="dxa"/>
            </w:tcMar>
            <w:vAlign w:val="center"/>
          </w:tcPr>
          <w:p w14:paraId="5DA0E762" w14:textId="77777777" w:rsidR="008E0448" w:rsidRDefault="00FF3140">
            <w:pPr>
              <w:keepNext/>
              <w:keepLines/>
            </w:pPr>
            <w:r>
              <w:rPr>
                <w:sz w:val="18"/>
              </w:rPr>
              <w:t>3239</w:t>
            </w:r>
          </w:p>
        </w:tc>
        <w:tc>
          <w:tcPr>
            <w:tcW w:w="1860" w:type="dxa"/>
            <w:tcMar>
              <w:top w:w="0" w:type="dxa"/>
              <w:bottom w:w="0" w:type="dxa"/>
            </w:tcMar>
            <w:vAlign w:val="center"/>
          </w:tcPr>
          <w:p w14:paraId="00D99138" w14:textId="77777777" w:rsidR="008E0448" w:rsidRDefault="00FF3140">
            <w:pPr>
              <w:keepNext/>
              <w:keepLines/>
              <w:jc w:val="right"/>
            </w:pPr>
            <w:r>
              <w:rPr>
                <w:sz w:val="18"/>
              </w:rPr>
              <w:t>105,00</w:t>
            </w:r>
          </w:p>
        </w:tc>
        <w:tc>
          <w:tcPr>
            <w:tcW w:w="1860" w:type="dxa"/>
            <w:tcMar>
              <w:top w:w="0" w:type="dxa"/>
              <w:bottom w:w="0" w:type="dxa"/>
            </w:tcMar>
            <w:vAlign w:val="center"/>
          </w:tcPr>
          <w:p w14:paraId="35A4B310" w14:textId="77777777" w:rsidR="008E0448" w:rsidRDefault="00FF3140">
            <w:pPr>
              <w:keepNext/>
              <w:keepLines/>
              <w:jc w:val="right"/>
            </w:pPr>
            <w:r>
              <w:rPr>
                <w:sz w:val="18"/>
              </w:rPr>
              <w:t>704,85</w:t>
            </w:r>
          </w:p>
        </w:tc>
        <w:tc>
          <w:tcPr>
            <w:tcW w:w="700" w:type="dxa"/>
            <w:tcMar>
              <w:top w:w="0" w:type="dxa"/>
              <w:bottom w:w="0" w:type="dxa"/>
            </w:tcMar>
            <w:vAlign w:val="center"/>
          </w:tcPr>
          <w:p w14:paraId="0A763C9E" w14:textId="77777777" w:rsidR="008E0448" w:rsidRDefault="00FF3140">
            <w:pPr>
              <w:keepNext/>
              <w:keepLines/>
              <w:jc w:val="right"/>
            </w:pPr>
            <w:r>
              <w:rPr>
                <w:sz w:val="18"/>
              </w:rPr>
              <w:t>671,3</w:t>
            </w:r>
          </w:p>
        </w:tc>
      </w:tr>
    </w:tbl>
    <w:p w14:paraId="2150AFDD" w14:textId="77777777" w:rsidR="008E0448" w:rsidRDefault="008E0448"/>
    <w:p w14:paraId="2F7762F7" w14:textId="77777777" w:rsidR="008E0448" w:rsidRDefault="00FF3140">
      <w:r>
        <w:t>Rashodi za ostale usluge višestruko su povećani u odnosu na isto razdoblje prethodne godine zbog većeg opsega usluga evidentiranih na ovom kontu. Među značajnijim rashodima nalaze se troškovi kotizacija za matematičko natjecanje „Klokan bez granica“, trošk</w:t>
      </w:r>
      <w:r>
        <w:t>ovi objave postupka javne nabave u Narodnim novinama te troškovi 24-satnog dežurstva Javne vatrogasne postrojbe Gospić, uz ostale usluge potrebne za redovno poslovanje Škole.</w:t>
      </w:r>
    </w:p>
    <w:p w14:paraId="121C619E" w14:textId="77777777" w:rsidR="008E0448" w:rsidRDefault="008E0448"/>
    <w:p w14:paraId="65D9B39A" w14:textId="77777777" w:rsidR="008E0448" w:rsidRDefault="00FF3140">
      <w:pPr>
        <w:keepNext/>
        <w:jc w:val="center"/>
      </w:pPr>
      <w:r>
        <w:rPr>
          <w:sz w:val="28"/>
        </w:rPr>
        <w:t>Bilješka 17.</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AE4FBDA"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BCC068A"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0D23D60B"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32D72BDA"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03BA2B75" w14:textId="77777777" w:rsidR="008E0448" w:rsidRDefault="00FF3140">
            <w:pPr>
              <w:keepNext/>
              <w:keepLines/>
              <w:jc w:val="center"/>
            </w:pPr>
            <w:r>
              <w:rPr>
                <w:b/>
                <w:sz w:val="18"/>
              </w:rPr>
              <w:t>Ostvareno u izvještajnom razd</w:t>
            </w:r>
            <w:r>
              <w:rPr>
                <w:b/>
                <w:sz w:val="18"/>
              </w:rPr>
              <w:t>oblju prethodne godine</w:t>
            </w:r>
          </w:p>
        </w:tc>
        <w:tc>
          <w:tcPr>
            <w:tcW w:w="1860" w:type="dxa"/>
            <w:shd w:val="clear" w:color="auto" w:fill="E7F0F9"/>
            <w:tcMar>
              <w:top w:w="0" w:type="dxa"/>
              <w:bottom w:w="0" w:type="dxa"/>
            </w:tcMar>
            <w:vAlign w:val="center"/>
          </w:tcPr>
          <w:p w14:paraId="1821D224"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6487701D" w14:textId="77777777" w:rsidR="008E0448" w:rsidRDefault="00FF3140">
            <w:pPr>
              <w:keepNext/>
              <w:keepLines/>
              <w:jc w:val="center"/>
            </w:pPr>
            <w:r>
              <w:rPr>
                <w:b/>
                <w:sz w:val="18"/>
              </w:rPr>
              <w:t>Indeks (%)</w:t>
            </w:r>
          </w:p>
        </w:tc>
      </w:tr>
      <w:tr w:rsidR="008E0448" w14:paraId="1804E082" w14:textId="77777777">
        <w:tblPrEx>
          <w:tblCellMar>
            <w:top w:w="0" w:type="dxa"/>
            <w:bottom w:w="0" w:type="dxa"/>
          </w:tblCellMar>
        </w:tblPrEx>
        <w:trPr>
          <w:cantSplit/>
          <w:trHeight w:val="560"/>
        </w:trPr>
        <w:tc>
          <w:tcPr>
            <w:tcW w:w="700" w:type="dxa"/>
            <w:tcMar>
              <w:top w:w="0" w:type="dxa"/>
              <w:bottom w:w="0" w:type="dxa"/>
            </w:tcMar>
            <w:vAlign w:val="center"/>
          </w:tcPr>
          <w:p w14:paraId="7D9EA293" w14:textId="77777777" w:rsidR="008E0448" w:rsidRDefault="00FF3140">
            <w:pPr>
              <w:keepNext/>
              <w:keepLines/>
            </w:pPr>
            <w:r>
              <w:rPr>
                <w:sz w:val="18"/>
              </w:rPr>
              <w:t>329</w:t>
            </w:r>
          </w:p>
        </w:tc>
        <w:tc>
          <w:tcPr>
            <w:tcW w:w="3180" w:type="dxa"/>
            <w:tcMar>
              <w:top w:w="0" w:type="dxa"/>
              <w:bottom w:w="0" w:type="dxa"/>
            </w:tcMar>
            <w:vAlign w:val="center"/>
          </w:tcPr>
          <w:p w14:paraId="49CFCD13" w14:textId="77777777" w:rsidR="008E0448" w:rsidRDefault="00FF3140">
            <w:pPr>
              <w:keepNext/>
              <w:keepLines/>
            </w:pPr>
            <w:r>
              <w:rPr>
                <w:sz w:val="18"/>
              </w:rPr>
              <w:t>Ostali nespomenuti rashodi poslovanja (šifre 3291 do 3299)</w:t>
            </w:r>
          </w:p>
        </w:tc>
        <w:tc>
          <w:tcPr>
            <w:tcW w:w="700" w:type="dxa"/>
            <w:tcMar>
              <w:top w:w="0" w:type="dxa"/>
              <w:bottom w:w="0" w:type="dxa"/>
            </w:tcMar>
            <w:vAlign w:val="center"/>
          </w:tcPr>
          <w:p w14:paraId="43FB2C7E" w14:textId="77777777" w:rsidR="008E0448" w:rsidRDefault="00FF3140">
            <w:pPr>
              <w:keepNext/>
              <w:keepLines/>
            </w:pPr>
            <w:r>
              <w:rPr>
                <w:sz w:val="18"/>
              </w:rPr>
              <w:t>329</w:t>
            </w:r>
          </w:p>
        </w:tc>
        <w:tc>
          <w:tcPr>
            <w:tcW w:w="1860" w:type="dxa"/>
            <w:tcMar>
              <w:top w:w="0" w:type="dxa"/>
              <w:bottom w:w="0" w:type="dxa"/>
            </w:tcMar>
            <w:vAlign w:val="center"/>
          </w:tcPr>
          <w:p w14:paraId="15E6A868" w14:textId="77777777" w:rsidR="008E0448" w:rsidRDefault="00FF3140">
            <w:pPr>
              <w:keepNext/>
              <w:keepLines/>
              <w:jc w:val="right"/>
            </w:pPr>
            <w:r>
              <w:rPr>
                <w:sz w:val="18"/>
              </w:rPr>
              <w:t>24.680,69</w:t>
            </w:r>
          </w:p>
        </w:tc>
        <w:tc>
          <w:tcPr>
            <w:tcW w:w="1860" w:type="dxa"/>
            <w:tcMar>
              <w:top w:w="0" w:type="dxa"/>
              <w:bottom w:w="0" w:type="dxa"/>
            </w:tcMar>
            <w:vAlign w:val="center"/>
          </w:tcPr>
          <w:p w14:paraId="4CD74DF6" w14:textId="77777777" w:rsidR="008E0448" w:rsidRDefault="00FF3140">
            <w:pPr>
              <w:keepNext/>
              <w:keepLines/>
              <w:jc w:val="right"/>
            </w:pPr>
            <w:r>
              <w:rPr>
                <w:sz w:val="18"/>
              </w:rPr>
              <w:t>24.556,80</w:t>
            </w:r>
          </w:p>
        </w:tc>
        <w:tc>
          <w:tcPr>
            <w:tcW w:w="700" w:type="dxa"/>
            <w:tcMar>
              <w:top w:w="0" w:type="dxa"/>
              <w:bottom w:w="0" w:type="dxa"/>
            </w:tcMar>
            <w:vAlign w:val="center"/>
          </w:tcPr>
          <w:p w14:paraId="7AD6A856" w14:textId="77777777" w:rsidR="008E0448" w:rsidRDefault="00FF3140">
            <w:pPr>
              <w:keepNext/>
              <w:keepLines/>
              <w:jc w:val="right"/>
            </w:pPr>
            <w:r>
              <w:rPr>
                <w:sz w:val="18"/>
              </w:rPr>
              <w:t>99,5</w:t>
            </w:r>
          </w:p>
        </w:tc>
      </w:tr>
    </w:tbl>
    <w:p w14:paraId="0E25990C" w14:textId="77777777" w:rsidR="008E0448" w:rsidRDefault="008E0448"/>
    <w:p w14:paraId="536D0F37" w14:textId="77777777" w:rsidR="008E0448" w:rsidRDefault="00FF3140">
      <w:r>
        <w:t>Ostali nespomenuti rashodi poslovanja ostvareni su na približno istoj razini kao i u istom razdoblju prethodne godine te su manji za 0,5 %. Povećanje rashoda za premije osiguranja i članarine najvećim je dijelom kompenzirano smanjenjem rashoda evidentirani</w:t>
      </w:r>
      <w:r>
        <w:t>h na kontu ostalih nespomenutih rashoda poslovanja.</w:t>
      </w:r>
    </w:p>
    <w:p w14:paraId="19ED911E" w14:textId="77777777" w:rsidR="008E0448" w:rsidRDefault="008E0448"/>
    <w:p w14:paraId="49E4E119" w14:textId="77777777" w:rsidR="008E0448" w:rsidRDefault="00FF3140">
      <w:pPr>
        <w:keepNext/>
        <w:jc w:val="center"/>
      </w:pPr>
      <w:r>
        <w:rPr>
          <w:sz w:val="28"/>
        </w:rPr>
        <w:t>Bilješka 18.</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359A7D4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C9C5492"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446552BC"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7E23CD23"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E81A58F"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0EB943E2"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746DDBE9" w14:textId="77777777" w:rsidR="008E0448" w:rsidRDefault="00FF3140">
            <w:pPr>
              <w:keepNext/>
              <w:keepLines/>
              <w:jc w:val="center"/>
            </w:pPr>
            <w:r>
              <w:rPr>
                <w:b/>
                <w:sz w:val="18"/>
              </w:rPr>
              <w:t>Indeks (%)</w:t>
            </w:r>
          </w:p>
        </w:tc>
      </w:tr>
      <w:tr w:rsidR="008E0448" w14:paraId="05202414" w14:textId="77777777">
        <w:tblPrEx>
          <w:tblCellMar>
            <w:top w:w="0" w:type="dxa"/>
            <w:bottom w:w="0" w:type="dxa"/>
          </w:tblCellMar>
        </w:tblPrEx>
        <w:trPr>
          <w:cantSplit/>
          <w:trHeight w:val="560"/>
        </w:trPr>
        <w:tc>
          <w:tcPr>
            <w:tcW w:w="700" w:type="dxa"/>
            <w:tcMar>
              <w:top w:w="0" w:type="dxa"/>
              <w:bottom w:w="0" w:type="dxa"/>
            </w:tcMar>
            <w:vAlign w:val="center"/>
          </w:tcPr>
          <w:p w14:paraId="02C585A2" w14:textId="77777777" w:rsidR="008E0448" w:rsidRDefault="00FF3140">
            <w:pPr>
              <w:keepNext/>
              <w:keepLines/>
            </w:pPr>
            <w:r>
              <w:rPr>
                <w:sz w:val="18"/>
              </w:rPr>
              <w:t>34</w:t>
            </w:r>
          </w:p>
        </w:tc>
        <w:tc>
          <w:tcPr>
            <w:tcW w:w="3180" w:type="dxa"/>
            <w:tcMar>
              <w:top w:w="0" w:type="dxa"/>
              <w:bottom w:w="0" w:type="dxa"/>
            </w:tcMar>
            <w:vAlign w:val="center"/>
          </w:tcPr>
          <w:p w14:paraId="6EA45417" w14:textId="77777777" w:rsidR="008E0448" w:rsidRDefault="00FF3140">
            <w:pPr>
              <w:keepNext/>
              <w:keepLines/>
            </w:pPr>
            <w:r>
              <w:rPr>
                <w:sz w:val="18"/>
              </w:rPr>
              <w:t xml:space="preserve">Financijski rashodi (šifre </w:t>
            </w:r>
            <w:r>
              <w:rPr>
                <w:sz w:val="18"/>
              </w:rPr>
              <w:t>341+342+343)</w:t>
            </w:r>
          </w:p>
        </w:tc>
        <w:tc>
          <w:tcPr>
            <w:tcW w:w="700" w:type="dxa"/>
            <w:tcMar>
              <w:top w:w="0" w:type="dxa"/>
              <w:bottom w:w="0" w:type="dxa"/>
            </w:tcMar>
            <w:vAlign w:val="center"/>
          </w:tcPr>
          <w:p w14:paraId="313AF80F" w14:textId="77777777" w:rsidR="008E0448" w:rsidRDefault="00FF3140">
            <w:pPr>
              <w:keepNext/>
              <w:keepLines/>
            </w:pPr>
            <w:r>
              <w:rPr>
                <w:sz w:val="18"/>
              </w:rPr>
              <w:t>34</w:t>
            </w:r>
          </w:p>
        </w:tc>
        <w:tc>
          <w:tcPr>
            <w:tcW w:w="1860" w:type="dxa"/>
            <w:tcMar>
              <w:top w:w="0" w:type="dxa"/>
              <w:bottom w:w="0" w:type="dxa"/>
            </w:tcMar>
            <w:vAlign w:val="center"/>
          </w:tcPr>
          <w:p w14:paraId="3E4B320A" w14:textId="77777777" w:rsidR="008E0448" w:rsidRDefault="00FF3140">
            <w:pPr>
              <w:keepNext/>
              <w:keepLines/>
              <w:jc w:val="right"/>
            </w:pPr>
            <w:r>
              <w:rPr>
                <w:sz w:val="18"/>
              </w:rPr>
              <w:t>1.176,83</w:t>
            </w:r>
          </w:p>
        </w:tc>
        <w:tc>
          <w:tcPr>
            <w:tcW w:w="1860" w:type="dxa"/>
            <w:tcMar>
              <w:top w:w="0" w:type="dxa"/>
              <w:bottom w:w="0" w:type="dxa"/>
            </w:tcMar>
            <w:vAlign w:val="center"/>
          </w:tcPr>
          <w:p w14:paraId="65CB7442" w14:textId="77777777" w:rsidR="008E0448" w:rsidRDefault="00FF3140">
            <w:pPr>
              <w:keepNext/>
              <w:keepLines/>
              <w:jc w:val="right"/>
            </w:pPr>
            <w:r>
              <w:rPr>
                <w:sz w:val="18"/>
              </w:rPr>
              <w:t>474,06</w:t>
            </w:r>
          </w:p>
        </w:tc>
        <w:tc>
          <w:tcPr>
            <w:tcW w:w="700" w:type="dxa"/>
            <w:tcMar>
              <w:top w:w="0" w:type="dxa"/>
              <w:bottom w:w="0" w:type="dxa"/>
            </w:tcMar>
            <w:vAlign w:val="center"/>
          </w:tcPr>
          <w:p w14:paraId="493804E2" w14:textId="77777777" w:rsidR="008E0448" w:rsidRDefault="00FF3140">
            <w:pPr>
              <w:keepNext/>
              <w:keepLines/>
              <w:jc w:val="right"/>
            </w:pPr>
            <w:r>
              <w:rPr>
                <w:sz w:val="18"/>
              </w:rPr>
              <w:t>40,3</w:t>
            </w:r>
          </w:p>
        </w:tc>
      </w:tr>
    </w:tbl>
    <w:p w14:paraId="3D14BBCD" w14:textId="77777777" w:rsidR="008E0448" w:rsidRDefault="008E0448"/>
    <w:p w14:paraId="5F758B93" w14:textId="77777777" w:rsidR="008E0448" w:rsidRDefault="00FF3140">
      <w:r>
        <w:t>Financijski rashodi smanjeni su za 59,7 % u odnosu na isto razdoblje prethodne godine, prvenstveno zbog značajno manjih rashoda za bankarske usluge i usluge platnog prometa. U izvještajnom razdoblju evidentirani su i rashodi za zatezne kamate, kojih u isto</w:t>
      </w:r>
      <w:r>
        <w:t>m razdoblju prethodne godine nije bilo, no njihov iznos nije imao značajniji utjecaj na ukupna kretanja financijskih rashoda.</w:t>
      </w:r>
    </w:p>
    <w:p w14:paraId="3B787A04" w14:textId="77777777" w:rsidR="008E0448" w:rsidRDefault="008E0448"/>
    <w:p w14:paraId="17EDCFB6" w14:textId="77777777" w:rsidR="008E0448" w:rsidRDefault="00FF3140">
      <w:pPr>
        <w:keepNext/>
        <w:jc w:val="center"/>
      </w:pPr>
      <w:r>
        <w:rPr>
          <w:sz w:val="28"/>
        </w:rPr>
        <w:lastRenderedPageBreak/>
        <w:t>Bilješka 19.</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76E339A6"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9462DF2"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345D5290"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7B353A3F"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44087E38"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4DF0396" w14:textId="77777777" w:rsidR="008E0448" w:rsidRDefault="00FF3140">
            <w:pPr>
              <w:keepNext/>
              <w:keepLines/>
              <w:jc w:val="center"/>
            </w:pPr>
            <w:r>
              <w:rPr>
                <w:b/>
                <w:sz w:val="18"/>
              </w:rPr>
              <w:t>Ostvareno u izvještajnom r</w:t>
            </w:r>
            <w:r>
              <w:rPr>
                <w:b/>
                <w:sz w:val="18"/>
              </w:rPr>
              <w:t>azdoblju tekuće godine</w:t>
            </w:r>
          </w:p>
        </w:tc>
        <w:tc>
          <w:tcPr>
            <w:tcW w:w="700" w:type="dxa"/>
            <w:shd w:val="clear" w:color="auto" w:fill="E7F0F9"/>
            <w:tcMar>
              <w:top w:w="0" w:type="dxa"/>
              <w:bottom w:w="0" w:type="dxa"/>
            </w:tcMar>
            <w:vAlign w:val="center"/>
          </w:tcPr>
          <w:p w14:paraId="4A9951C8" w14:textId="77777777" w:rsidR="008E0448" w:rsidRDefault="00FF3140">
            <w:pPr>
              <w:keepNext/>
              <w:keepLines/>
              <w:jc w:val="center"/>
            </w:pPr>
            <w:r>
              <w:rPr>
                <w:b/>
                <w:sz w:val="18"/>
              </w:rPr>
              <w:t>Indeks (%)</w:t>
            </w:r>
          </w:p>
        </w:tc>
      </w:tr>
      <w:tr w:rsidR="008E0448" w14:paraId="612C4DB6" w14:textId="77777777">
        <w:tblPrEx>
          <w:tblCellMar>
            <w:top w:w="0" w:type="dxa"/>
            <w:bottom w:w="0" w:type="dxa"/>
          </w:tblCellMar>
        </w:tblPrEx>
        <w:trPr>
          <w:cantSplit/>
          <w:trHeight w:val="560"/>
        </w:trPr>
        <w:tc>
          <w:tcPr>
            <w:tcW w:w="700" w:type="dxa"/>
            <w:tcMar>
              <w:top w:w="0" w:type="dxa"/>
              <w:bottom w:w="0" w:type="dxa"/>
            </w:tcMar>
            <w:vAlign w:val="center"/>
          </w:tcPr>
          <w:p w14:paraId="062786E6" w14:textId="77777777" w:rsidR="008E0448" w:rsidRDefault="00FF3140">
            <w:pPr>
              <w:keepNext/>
              <w:keepLines/>
            </w:pPr>
            <w:r>
              <w:rPr>
                <w:sz w:val="18"/>
              </w:rPr>
              <w:t>37</w:t>
            </w:r>
          </w:p>
        </w:tc>
        <w:tc>
          <w:tcPr>
            <w:tcW w:w="3180" w:type="dxa"/>
            <w:tcMar>
              <w:top w:w="0" w:type="dxa"/>
              <w:bottom w:w="0" w:type="dxa"/>
            </w:tcMar>
            <w:vAlign w:val="center"/>
          </w:tcPr>
          <w:p w14:paraId="356EE71E" w14:textId="77777777" w:rsidR="008E0448" w:rsidRDefault="00FF3140">
            <w:pPr>
              <w:keepNext/>
              <w:keepLines/>
            </w:pPr>
            <w:r>
              <w:rPr>
                <w:sz w:val="18"/>
              </w:rPr>
              <w:t>Naknade građanima i kućanstvima na temelju osiguranja i druge naknade (šifre 371+372)</w:t>
            </w:r>
          </w:p>
        </w:tc>
        <w:tc>
          <w:tcPr>
            <w:tcW w:w="700" w:type="dxa"/>
            <w:tcMar>
              <w:top w:w="0" w:type="dxa"/>
              <w:bottom w:w="0" w:type="dxa"/>
            </w:tcMar>
            <w:vAlign w:val="center"/>
          </w:tcPr>
          <w:p w14:paraId="7AA54143" w14:textId="77777777" w:rsidR="008E0448" w:rsidRDefault="00FF3140">
            <w:pPr>
              <w:keepNext/>
              <w:keepLines/>
            </w:pPr>
            <w:r>
              <w:rPr>
                <w:sz w:val="18"/>
              </w:rPr>
              <w:t>37</w:t>
            </w:r>
          </w:p>
        </w:tc>
        <w:tc>
          <w:tcPr>
            <w:tcW w:w="1860" w:type="dxa"/>
            <w:tcMar>
              <w:top w:w="0" w:type="dxa"/>
              <w:bottom w:w="0" w:type="dxa"/>
            </w:tcMar>
            <w:vAlign w:val="center"/>
          </w:tcPr>
          <w:p w14:paraId="30C59F9A" w14:textId="77777777" w:rsidR="008E0448" w:rsidRDefault="00FF3140">
            <w:pPr>
              <w:keepNext/>
              <w:keepLines/>
              <w:jc w:val="right"/>
            </w:pPr>
            <w:r>
              <w:rPr>
                <w:sz w:val="18"/>
              </w:rPr>
              <w:t>101.232,43</w:t>
            </w:r>
          </w:p>
        </w:tc>
        <w:tc>
          <w:tcPr>
            <w:tcW w:w="1860" w:type="dxa"/>
            <w:tcMar>
              <w:top w:w="0" w:type="dxa"/>
              <w:bottom w:w="0" w:type="dxa"/>
            </w:tcMar>
            <w:vAlign w:val="center"/>
          </w:tcPr>
          <w:p w14:paraId="28889EF4" w14:textId="77777777" w:rsidR="008E0448" w:rsidRDefault="00FF3140">
            <w:pPr>
              <w:keepNext/>
              <w:keepLines/>
              <w:jc w:val="right"/>
            </w:pPr>
            <w:r>
              <w:rPr>
                <w:sz w:val="18"/>
              </w:rPr>
              <w:t>84.512,59</w:t>
            </w:r>
          </w:p>
        </w:tc>
        <w:tc>
          <w:tcPr>
            <w:tcW w:w="700" w:type="dxa"/>
            <w:tcMar>
              <w:top w:w="0" w:type="dxa"/>
              <w:bottom w:w="0" w:type="dxa"/>
            </w:tcMar>
            <w:vAlign w:val="center"/>
          </w:tcPr>
          <w:p w14:paraId="1C46BF79" w14:textId="77777777" w:rsidR="008E0448" w:rsidRDefault="00FF3140">
            <w:pPr>
              <w:keepNext/>
              <w:keepLines/>
              <w:jc w:val="right"/>
            </w:pPr>
            <w:r>
              <w:rPr>
                <w:sz w:val="18"/>
              </w:rPr>
              <w:t>83,5</w:t>
            </w:r>
          </w:p>
        </w:tc>
      </w:tr>
    </w:tbl>
    <w:p w14:paraId="7BAE2744" w14:textId="77777777" w:rsidR="008E0448" w:rsidRDefault="008E0448"/>
    <w:p w14:paraId="632547F9" w14:textId="77777777" w:rsidR="008E0448" w:rsidRDefault="00FF3140">
      <w:r>
        <w:t>Rashodi za naknade građanima i kućanstvima iz proračuna smanjeni su za 16,5 % u odnosu na isto razdoblje prethodne godine, prvenstveno zbog manjeg iznosa troškova prijevoza učenika. Visina ovih rashoda ovisi o broju učenika koji ostvaruju pravo na prijevoz</w:t>
      </w:r>
      <w:r>
        <w:t xml:space="preserve"> te o relacijama i kilometraži prijevoza u pojedinom izvještajnom razdoblju.</w:t>
      </w:r>
    </w:p>
    <w:p w14:paraId="2847076E" w14:textId="77777777" w:rsidR="008E0448" w:rsidRDefault="008E0448"/>
    <w:p w14:paraId="47F4D6FC" w14:textId="77777777" w:rsidR="008E0448" w:rsidRDefault="00FF3140">
      <w:pPr>
        <w:keepNext/>
        <w:jc w:val="center"/>
      </w:pPr>
      <w:r>
        <w:rPr>
          <w:sz w:val="28"/>
        </w:rPr>
        <w:t>Bilješka 20.</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282CB480"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16E85B17"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6AFB3727"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427FBD0B"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9841BCC"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1C2B41EB"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428CA1EC" w14:textId="77777777" w:rsidR="008E0448" w:rsidRDefault="00FF3140">
            <w:pPr>
              <w:keepNext/>
              <w:keepLines/>
              <w:jc w:val="center"/>
            </w:pPr>
            <w:r>
              <w:rPr>
                <w:b/>
                <w:sz w:val="18"/>
              </w:rPr>
              <w:t>Indeks (%)</w:t>
            </w:r>
          </w:p>
        </w:tc>
      </w:tr>
      <w:tr w:rsidR="008E0448" w14:paraId="7AC4AD8A" w14:textId="77777777">
        <w:tblPrEx>
          <w:tblCellMar>
            <w:top w:w="0" w:type="dxa"/>
            <w:bottom w:w="0" w:type="dxa"/>
          </w:tblCellMar>
        </w:tblPrEx>
        <w:trPr>
          <w:cantSplit/>
          <w:trHeight w:val="560"/>
        </w:trPr>
        <w:tc>
          <w:tcPr>
            <w:tcW w:w="700" w:type="dxa"/>
            <w:tcMar>
              <w:top w:w="0" w:type="dxa"/>
              <w:bottom w:w="0" w:type="dxa"/>
            </w:tcMar>
            <w:vAlign w:val="center"/>
          </w:tcPr>
          <w:p w14:paraId="56155D34" w14:textId="77777777" w:rsidR="008E0448" w:rsidRDefault="00FF3140">
            <w:pPr>
              <w:keepNext/>
              <w:keepLines/>
            </w:pPr>
            <w:r>
              <w:rPr>
                <w:sz w:val="18"/>
              </w:rPr>
              <w:t>4</w:t>
            </w:r>
          </w:p>
        </w:tc>
        <w:tc>
          <w:tcPr>
            <w:tcW w:w="3180" w:type="dxa"/>
            <w:tcMar>
              <w:top w:w="0" w:type="dxa"/>
              <w:bottom w:w="0" w:type="dxa"/>
            </w:tcMar>
            <w:vAlign w:val="center"/>
          </w:tcPr>
          <w:p w14:paraId="0CA57168" w14:textId="77777777" w:rsidR="008E0448" w:rsidRDefault="00FF3140">
            <w:pPr>
              <w:keepNext/>
              <w:keepLines/>
            </w:pPr>
            <w:r>
              <w:rPr>
                <w:sz w:val="18"/>
              </w:rPr>
              <w:t>Rashodi za nabavu nefinancijske imovine (šifre 41+42+43+44+45)</w:t>
            </w:r>
          </w:p>
        </w:tc>
        <w:tc>
          <w:tcPr>
            <w:tcW w:w="700" w:type="dxa"/>
            <w:tcMar>
              <w:top w:w="0" w:type="dxa"/>
              <w:bottom w:w="0" w:type="dxa"/>
            </w:tcMar>
            <w:vAlign w:val="center"/>
          </w:tcPr>
          <w:p w14:paraId="41FC4A45" w14:textId="77777777" w:rsidR="008E0448" w:rsidRDefault="00FF3140">
            <w:pPr>
              <w:keepNext/>
              <w:keepLines/>
            </w:pPr>
            <w:r>
              <w:rPr>
                <w:sz w:val="18"/>
              </w:rPr>
              <w:t>4</w:t>
            </w:r>
          </w:p>
        </w:tc>
        <w:tc>
          <w:tcPr>
            <w:tcW w:w="1860" w:type="dxa"/>
            <w:tcMar>
              <w:top w:w="0" w:type="dxa"/>
              <w:bottom w:w="0" w:type="dxa"/>
            </w:tcMar>
            <w:vAlign w:val="center"/>
          </w:tcPr>
          <w:p w14:paraId="06BA0858" w14:textId="77777777" w:rsidR="008E0448" w:rsidRDefault="00FF3140">
            <w:pPr>
              <w:keepNext/>
              <w:keepLines/>
              <w:jc w:val="right"/>
            </w:pPr>
            <w:r>
              <w:rPr>
                <w:sz w:val="18"/>
              </w:rPr>
              <w:t>9.196,61</w:t>
            </w:r>
          </w:p>
        </w:tc>
        <w:tc>
          <w:tcPr>
            <w:tcW w:w="1860" w:type="dxa"/>
            <w:tcMar>
              <w:top w:w="0" w:type="dxa"/>
              <w:bottom w:w="0" w:type="dxa"/>
            </w:tcMar>
            <w:vAlign w:val="center"/>
          </w:tcPr>
          <w:p w14:paraId="29DED231" w14:textId="77777777" w:rsidR="008E0448" w:rsidRDefault="00FF3140">
            <w:pPr>
              <w:keepNext/>
              <w:keepLines/>
              <w:jc w:val="right"/>
            </w:pPr>
            <w:r>
              <w:rPr>
                <w:sz w:val="18"/>
              </w:rPr>
              <w:t>79.461,78</w:t>
            </w:r>
          </w:p>
        </w:tc>
        <w:tc>
          <w:tcPr>
            <w:tcW w:w="700" w:type="dxa"/>
            <w:tcMar>
              <w:top w:w="0" w:type="dxa"/>
              <w:bottom w:w="0" w:type="dxa"/>
            </w:tcMar>
            <w:vAlign w:val="center"/>
          </w:tcPr>
          <w:p w14:paraId="64325A72" w14:textId="77777777" w:rsidR="008E0448" w:rsidRDefault="00FF3140">
            <w:pPr>
              <w:keepNext/>
              <w:keepLines/>
              <w:jc w:val="right"/>
            </w:pPr>
            <w:r>
              <w:rPr>
                <w:sz w:val="18"/>
              </w:rPr>
              <w:t>864,0</w:t>
            </w:r>
          </w:p>
        </w:tc>
      </w:tr>
    </w:tbl>
    <w:p w14:paraId="66427713" w14:textId="77777777" w:rsidR="008E0448" w:rsidRDefault="008E0448"/>
    <w:p w14:paraId="1EDEFC21" w14:textId="77777777" w:rsidR="008E0448" w:rsidRDefault="00FF3140">
      <w:r>
        <w:t>Rashodi za nabavu nefinancijske imovine višestruko su povećani u odnosu na isto razdoblje prethodne godine zbog nabave dugotrajne imovine te izvršenih dodatnih ulaganja na nefinancijskoj imovini. Navedeni rashodi detaljnije su obrazloženi u nastavku bilješ</w:t>
      </w:r>
      <w:r>
        <w:t>ki.</w:t>
      </w:r>
    </w:p>
    <w:p w14:paraId="6B7B4ADD" w14:textId="77777777" w:rsidR="008E0448" w:rsidRDefault="008E0448"/>
    <w:p w14:paraId="73F3E80F" w14:textId="77777777" w:rsidR="008E0448" w:rsidRDefault="00FF3140">
      <w:pPr>
        <w:keepNext/>
        <w:jc w:val="center"/>
      </w:pPr>
      <w:r>
        <w:rPr>
          <w:sz w:val="28"/>
        </w:rPr>
        <w:t>Bilješka 21.</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20C3500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6F1A7751"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65603F9B"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38750DC7"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7D9E576B"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3E8C92B1"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31E45CA7" w14:textId="77777777" w:rsidR="008E0448" w:rsidRDefault="00FF3140">
            <w:pPr>
              <w:keepNext/>
              <w:keepLines/>
              <w:jc w:val="center"/>
            </w:pPr>
            <w:r>
              <w:rPr>
                <w:b/>
                <w:sz w:val="18"/>
              </w:rPr>
              <w:t>Indeks (%)</w:t>
            </w:r>
          </w:p>
        </w:tc>
      </w:tr>
      <w:tr w:rsidR="008E0448" w14:paraId="29725175" w14:textId="77777777">
        <w:tblPrEx>
          <w:tblCellMar>
            <w:top w:w="0" w:type="dxa"/>
            <w:bottom w:w="0" w:type="dxa"/>
          </w:tblCellMar>
        </w:tblPrEx>
        <w:trPr>
          <w:cantSplit/>
          <w:trHeight w:val="560"/>
        </w:trPr>
        <w:tc>
          <w:tcPr>
            <w:tcW w:w="700" w:type="dxa"/>
            <w:tcMar>
              <w:top w:w="0" w:type="dxa"/>
              <w:bottom w:w="0" w:type="dxa"/>
            </w:tcMar>
            <w:vAlign w:val="center"/>
          </w:tcPr>
          <w:p w14:paraId="7FE202D1" w14:textId="77777777" w:rsidR="008E0448" w:rsidRDefault="00FF3140">
            <w:pPr>
              <w:keepNext/>
              <w:keepLines/>
            </w:pPr>
            <w:r>
              <w:rPr>
                <w:sz w:val="18"/>
              </w:rPr>
              <w:t>422</w:t>
            </w:r>
          </w:p>
        </w:tc>
        <w:tc>
          <w:tcPr>
            <w:tcW w:w="3180" w:type="dxa"/>
            <w:tcMar>
              <w:top w:w="0" w:type="dxa"/>
              <w:bottom w:w="0" w:type="dxa"/>
            </w:tcMar>
            <w:vAlign w:val="center"/>
          </w:tcPr>
          <w:p w14:paraId="1C9309CF" w14:textId="77777777" w:rsidR="008E0448" w:rsidRDefault="00FF3140">
            <w:pPr>
              <w:keepNext/>
              <w:keepLines/>
            </w:pPr>
            <w:r>
              <w:rPr>
                <w:sz w:val="18"/>
              </w:rPr>
              <w:t>Postrojenja i oprema (šifre 4221 do 4228)</w:t>
            </w:r>
          </w:p>
        </w:tc>
        <w:tc>
          <w:tcPr>
            <w:tcW w:w="700" w:type="dxa"/>
            <w:tcMar>
              <w:top w:w="0" w:type="dxa"/>
              <w:bottom w:w="0" w:type="dxa"/>
            </w:tcMar>
            <w:vAlign w:val="center"/>
          </w:tcPr>
          <w:p w14:paraId="4FEC03AB" w14:textId="77777777" w:rsidR="008E0448" w:rsidRDefault="00FF3140">
            <w:pPr>
              <w:keepNext/>
              <w:keepLines/>
            </w:pPr>
            <w:r>
              <w:rPr>
                <w:sz w:val="18"/>
              </w:rPr>
              <w:t>422</w:t>
            </w:r>
          </w:p>
        </w:tc>
        <w:tc>
          <w:tcPr>
            <w:tcW w:w="1860" w:type="dxa"/>
            <w:tcMar>
              <w:top w:w="0" w:type="dxa"/>
              <w:bottom w:w="0" w:type="dxa"/>
            </w:tcMar>
            <w:vAlign w:val="center"/>
          </w:tcPr>
          <w:p w14:paraId="2C559D2D" w14:textId="77777777" w:rsidR="008E0448" w:rsidRDefault="00FF3140">
            <w:pPr>
              <w:keepNext/>
              <w:keepLines/>
              <w:jc w:val="right"/>
            </w:pPr>
            <w:r>
              <w:rPr>
                <w:sz w:val="18"/>
              </w:rPr>
              <w:t>5.230,00</w:t>
            </w:r>
          </w:p>
        </w:tc>
        <w:tc>
          <w:tcPr>
            <w:tcW w:w="1860" w:type="dxa"/>
            <w:tcMar>
              <w:top w:w="0" w:type="dxa"/>
              <w:bottom w:w="0" w:type="dxa"/>
            </w:tcMar>
            <w:vAlign w:val="center"/>
          </w:tcPr>
          <w:p w14:paraId="6B7B89F5" w14:textId="77777777" w:rsidR="008E0448" w:rsidRDefault="00FF3140">
            <w:pPr>
              <w:keepNext/>
              <w:keepLines/>
              <w:jc w:val="right"/>
            </w:pPr>
            <w:r>
              <w:rPr>
                <w:sz w:val="18"/>
              </w:rPr>
              <w:t>795,28</w:t>
            </w:r>
          </w:p>
        </w:tc>
        <w:tc>
          <w:tcPr>
            <w:tcW w:w="700" w:type="dxa"/>
            <w:tcMar>
              <w:top w:w="0" w:type="dxa"/>
              <w:bottom w:w="0" w:type="dxa"/>
            </w:tcMar>
            <w:vAlign w:val="center"/>
          </w:tcPr>
          <w:p w14:paraId="7D686832" w14:textId="77777777" w:rsidR="008E0448" w:rsidRDefault="00FF3140">
            <w:pPr>
              <w:keepNext/>
              <w:keepLines/>
              <w:jc w:val="right"/>
            </w:pPr>
            <w:r>
              <w:rPr>
                <w:sz w:val="18"/>
              </w:rPr>
              <w:t>15,2</w:t>
            </w:r>
          </w:p>
        </w:tc>
      </w:tr>
    </w:tbl>
    <w:p w14:paraId="21ABC2C2" w14:textId="77777777" w:rsidR="008E0448" w:rsidRDefault="008E0448"/>
    <w:p w14:paraId="555B4A5E" w14:textId="77777777" w:rsidR="008E0448" w:rsidRDefault="00FF3140">
      <w:r>
        <w:t>Rashodi za postrojenja i opremu smanjeni su za 84,8 % u odnosu na isto razdoblje prethodne godine. Navedeni rashodi odnose se na nabavu opreme za potrebe glazbene škole, uključujući nabavu glazbenog instrumenta i druge potrebne opreme za izvođenje nastavno</w:t>
      </w:r>
      <w:r>
        <w:t>g procesa.</w:t>
      </w:r>
    </w:p>
    <w:p w14:paraId="2A40D356" w14:textId="77777777" w:rsidR="008E0448" w:rsidRDefault="008E0448"/>
    <w:p w14:paraId="13F86642" w14:textId="77777777" w:rsidR="008E0448" w:rsidRDefault="00FF3140">
      <w:pPr>
        <w:keepNext/>
        <w:jc w:val="center"/>
      </w:pPr>
      <w:r>
        <w:rPr>
          <w:sz w:val="28"/>
        </w:rPr>
        <w:t>Bilješka 22.</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700"/>
        <w:gridCol w:w="3180"/>
        <w:gridCol w:w="700"/>
        <w:gridCol w:w="1860"/>
        <w:gridCol w:w="1860"/>
        <w:gridCol w:w="700"/>
      </w:tblGrid>
      <w:tr w:rsidR="008E0448" w14:paraId="0FC5C51B"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3B77A78D"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7863A130"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212BADE5"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23BADC9F" w14:textId="77777777" w:rsidR="008E0448" w:rsidRDefault="00FF3140">
            <w:pPr>
              <w:keepNext/>
              <w:keepLines/>
              <w:jc w:val="center"/>
            </w:pPr>
            <w:r>
              <w:rPr>
                <w:b/>
                <w:sz w:val="18"/>
              </w:rPr>
              <w:t>Ostvareno u izvještajnom razdoblju prethodne godine</w:t>
            </w:r>
          </w:p>
        </w:tc>
        <w:tc>
          <w:tcPr>
            <w:tcW w:w="1860" w:type="dxa"/>
            <w:shd w:val="clear" w:color="auto" w:fill="E7F0F9"/>
            <w:tcMar>
              <w:top w:w="0" w:type="dxa"/>
              <w:bottom w:w="0" w:type="dxa"/>
            </w:tcMar>
            <w:vAlign w:val="center"/>
          </w:tcPr>
          <w:p w14:paraId="52AE7C9A" w14:textId="77777777" w:rsidR="008E0448" w:rsidRDefault="00FF3140">
            <w:pPr>
              <w:keepNext/>
              <w:keepLines/>
              <w:jc w:val="center"/>
            </w:pPr>
            <w:r>
              <w:rPr>
                <w:b/>
                <w:sz w:val="18"/>
              </w:rPr>
              <w:t>Ostvareno u izvještajnom razdoblju tekuće godine</w:t>
            </w:r>
          </w:p>
        </w:tc>
        <w:tc>
          <w:tcPr>
            <w:tcW w:w="700" w:type="dxa"/>
            <w:shd w:val="clear" w:color="auto" w:fill="E7F0F9"/>
            <w:tcMar>
              <w:top w:w="0" w:type="dxa"/>
              <w:bottom w:w="0" w:type="dxa"/>
            </w:tcMar>
            <w:vAlign w:val="center"/>
          </w:tcPr>
          <w:p w14:paraId="0AEF0CAB" w14:textId="77777777" w:rsidR="008E0448" w:rsidRDefault="00FF3140">
            <w:pPr>
              <w:keepNext/>
              <w:keepLines/>
              <w:jc w:val="center"/>
            </w:pPr>
            <w:r>
              <w:rPr>
                <w:b/>
                <w:sz w:val="18"/>
              </w:rPr>
              <w:t>Indeks (%)</w:t>
            </w:r>
          </w:p>
        </w:tc>
      </w:tr>
      <w:tr w:rsidR="008E0448" w14:paraId="1A6AA8E4" w14:textId="77777777">
        <w:tblPrEx>
          <w:tblCellMar>
            <w:top w:w="0" w:type="dxa"/>
            <w:bottom w:w="0" w:type="dxa"/>
          </w:tblCellMar>
        </w:tblPrEx>
        <w:trPr>
          <w:cantSplit/>
          <w:trHeight w:val="560"/>
        </w:trPr>
        <w:tc>
          <w:tcPr>
            <w:tcW w:w="700" w:type="dxa"/>
            <w:tcMar>
              <w:top w:w="0" w:type="dxa"/>
              <w:bottom w:w="0" w:type="dxa"/>
            </w:tcMar>
            <w:vAlign w:val="center"/>
          </w:tcPr>
          <w:p w14:paraId="31274D23" w14:textId="77777777" w:rsidR="008E0448" w:rsidRDefault="00FF3140">
            <w:pPr>
              <w:keepNext/>
              <w:keepLines/>
            </w:pPr>
            <w:r>
              <w:rPr>
                <w:sz w:val="18"/>
              </w:rPr>
              <w:t>45</w:t>
            </w:r>
          </w:p>
        </w:tc>
        <w:tc>
          <w:tcPr>
            <w:tcW w:w="3180" w:type="dxa"/>
            <w:tcMar>
              <w:top w:w="0" w:type="dxa"/>
              <w:bottom w:w="0" w:type="dxa"/>
            </w:tcMar>
            <w:vAlign w:val="center"/>
          </w:tcPr>
          <w:p w14:paraId="4BC7179F" w14:textId="77777777" w:rsidR="008E0448" w:rsidRDefault="00FF3140">
            <w:pPr>
              <w:keepNext/>
              <w:keepLines/>
            </w:pPr>
            <w:r>
              <w:rPr>
                <w:sz w:val="18"/>
              </w:rPr>
              <w:t>Rashodi za dodatna ulaganja na nefinancijskoj imovini (šifre 451 do 454)</w:t>
            </w:r>
          </w:p>
        </w:tc>
        <w:tc>
          <w:tcPr>
            <w:tcW w:w="700" w:type="dxa"/>
            <w:tcMar>
              <w:top w:w="0" w:type="dxa"/>
              <w:bottom w:w="0" w:type="dxa"/>
            </w:tcMar>
            <w:vAlign w:val="center"/>
          </w:tcPr>
          <w:p w14:paraId="2FE21BC9" w14:textId="77777777" w:rsidR="008E0448" w:rsidRDefault="00FF3140">
            <w:pPr>
              <w:keepNext/>
              <w:keepLines/>
            </w:pPr>
            <w:r>
              <w:rPr>
                <w:sz w:val="18"/>
              </w:rPr>
              <w:t>45</w:t>
            </w:r>
          </w:p>
        </w:tc>
        <w:tc>
          <w:tcPr>
            <w:tcW w:w="1860" w:type="dxa"/>
            <w:tcMar>
              <w:top w:w="0" w:type="dxa"/>
              <w:bottom w:w="0" w:type="dxa"/>
            </w:tcMar>
            <w:vAlign w:val="center"/>
          </w:tcPr>
          <w:p w14:paraId="1050AC83" w14:textId="77777777" w:rsidR="008E0448" w:rsidRDefault="00FF3140">
            <w:pPr>
              <w:keepNext/>
              <w:keepLines/>
              <w:jc w:val="right"/>
            </w:pPr>
            <w:r>
              <w:rPr>
                <w:sz w:val="18"/>
              </w:rPr>
              <w:t>3.966,61</w:t>
            </w:r>
          </w:p>
        </w:tc>
        <w:tc>
          <w:tcPr>
            <w:tcW w:w="1860" w:type="dxa"/>
            <w:tcMar>
              <w:top w:w="0" w:type="dxa"/>
              <w:bottom w:w="0" w:type="dxa"/>
            </w:tcMar>
            <w:vAlign w:val="center"/>
          </w:tcPr>
          <w:p w14:paraId="01F6E3CD" w14:textId="77777777" w:rsidR="008E0448" w:rsidRDefault="00FF3140">
            <w:pPr>
              <w:keepNext/>
              <w:keepLines/>
              <w:jc w:val="right"/>
            </w:pPr>
            <w:r>
              <w:rPr>
                <w:sz w:val="18"/>
              </w:rPr>
              <w:t>78.666,50</w:t>
            </w:r>
          </w:p>
        </w:tc>
        <w:tc>
          <w:tcPr>
            <w:tcW w:w="700" w:type="dxa"/>
            <w:tcMar>
              <w:top w:w="0" w:type="dxa"/>
              <w:bottom w:w="0" w:type="dxa"/>
            </w:tcMar>
            <w:vAlign w:val="center"/>
          </w:tcPr>
          <w:p w14:paraId="778DEA83" w14:textId="77777777" w:rsidR="008E0448" w:rsidRDefault="00FF3140">
            <w:pPr>
              <w:keepNext/>
              <w:keepLines/>
              <w:jc w:val="right"/>
            </w:pPr>
            <w:r>
              <w:rPr>
                <w:sz w:val="18"/>
              </w:rPr>
              <w:t>1983,2</w:t>
            </w:r>
          </w:p>
        </w:tc>
      </w:tr>
    </w:tbl>
    <w:p w14:paraId="08DE02A1" w14:textId="77777777" w:rsidR="008E0448" w:rsidRDefault="008E0448"/>
    <w:p w14:paraId="48179F1F" w14:textId="77777777" w:rsidR="008E0448" w:rsidRDefault="00FF3140">
      <w:r>
        <w:t>Rashodi za dodatna ulaganja na nefinancijskoj imovini višestruko su povećani  u odnosu na isto razdoblje prethodne godine, prvenstveno zbog povećanja rashoda za dodatna ulaganja na građevinskim objektima. Navedeni rashodi odnose se na izvođenje radova post</w:t>
      </w:r>
      <w:r>
        <w:t>avljanja novog parketa u školskoj sportskoj dvorani.</w:t>
      </w:r>
    </w:p>
    <w:p w14:paraId="4D4050C9" w14:textId="77777777" w:rsidR="008E0448" w:rsidRDefault="008E0448"/>
    <w:p w14:paraId="376817C5" w14:textId="77777777" w:rsidR="008E0448" w:rsidRDefault="00FF3140">
      <w:pPr>
        <w:keepNext/>
        <w:jc w:val="center"/>
      </w:pPr>
      <w:r>
        <w:rPr>
          <w:b/>
          <w:sz w:val="28"/>
        </w:rPr>
        <w:lastRenderedPageBreak/>
        <w:t>Izvještaj o obvezama</w:t>
      </w:r>
    </w:p>
    <w:p w14:paraId="2F64B7DC" w14:textId="77777777" w:rsidR="008E0448" w:rsidRDefault="00FF3140">
      <w:pPr>
        <w:keepNext/>
        <w:jc w:val="center"/>
      </w:pPr>
      <w:r>
        <w:rPr>
          <w:sz w:val="28"/>
        </w:rPr>
        <w:t>Bilješka 23.</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E0448" w14:paraId="03643727"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5EE3DDA"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5FC7A03F"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085B78BE"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3833BB0F" w14:textId="77777777" w:rsidR="008E0448" w:rsidRDefault="00FF3140">
            <w:pPr>
              <w:keepNext/>
              <w:keepLines/>
              <w:jc w:val="center"/>
            </w:pPr>
            <w:r>
              <w:rPr>
                <w:b/>
                <w:sz w:val="18"/>
              </w:rPr>
              <w:t>Iznos</w:t>
            </w:r>
          </w:p>
        </w:tc>
        <w:tc>
          <w:tcPr>
            <w:tcW w:w="700" w:type="dxa"/>
            <w:shd w:val="clear" w:color="auto" w:fill="E7F0F9"/>
            <w:tcMar>
              <w:top w:w="0" w:type="dxa"/>
              <w:bottom w:w="0" w:type="dxa"/>
            </w:tcMar>
            <w:vAlign w:val="center"/>
          </w:tcPr>
          <w:p w14:paraId="339C0478" w14:textId="77777777" w:rsidR="008E0448" w:rsidRDefault="00FF3140">
            <w:pPr>
              <w:keepNext/>
              <w:keepLines/>
              <w:jc w:val="center"/>
            </w:pPr>
            <w:r>
              <w:rPr>
                <w:b/>
                <w:sz w:val="18"/>
              </w:rPr>
              <w:t>Indeks (%)</w:t>
            </w:r>
          </w:p>
        </w:tc>
      </w:tr>
      <w:tr w:rsidR="008E0448" w14:paraId="472C3E66" w14:textId="77777777">
        <w:tblPrEx>
          <w:tblCellMar>
            <w:top w:w="0" w:type="dxa"/>
            <w:bottom w:w="0" w:type="dxa"/>
          </w:tblCellMar>
        </w:tblPrEx>
        <w:trPr>
          <w:cantSplit/>
          <w:trHeight w:val="560"/>
        </w:trPr>
        <w:tc>
          <w:tcPr>
            <w:tcW w:w="700" w:type="dxa"/>
            <w:tcMar>
              <w:top w:w="0" w:type="dxa"/>
              <w:bottom w:w="0" w:type="dxa"/>
            </w:tcMar>
            <w:vAlign w:val="center"/>
          </w:tcPr>
          <w:p w14:paraId="36A4988D" w14:textId="77777777" w:rsidR="008E0448" w:rsidRDefault="008E0448">
            <w:pPr>
              <w:keepNext/>
              <w:keepLines/>
            </w:pPr>
          </w:p>
        </w:tc>
        <w:tc>
          <w:tcPr>
            <w:tcW w:w="3180" w:type="dxa"/>
            <w:tcMar>
              <w:top w:w="0" w:type="dxa"/>
              <w:bottom w:w="0" w:type="dxa"/>
            </w:tcMar>
            <w:vAlign w:val="center"/>
          </w:tcPr>
          <w:p w14:paraId="637D3AB4" w14:textId="77777777" w:rsidR="008E0448" w:rsidRDefault="00FF3140">
            <w:pPr>
              <w:keepNext/>
              <w:keepLines/>
            </w:pPr>
            <w:r>
              <w:rPr>
                <w:sz w:val="18"/>
              </w:rPr>
              <w:t>Stanje dospjelih obveza na kraju izvještajnog razdoblja (šifre V008+D23+D24 + 'D dio 25,26' + D27)</w:t>
            </w:r>
          </w:p>
        </w:tc>
        <w:tc>
          <w:tcPr>
            <w:tcW w:w="700" w:type="dxa"/>
            <w:tcMar>
              <w:top w:w="0" w:type="dxa"/>
              <w:bottom w:w="0" w:type="dxa"/>
            </w:tcMar>
            <w:vAlign w:val="center"/>
          </w:tcPr>
          <w:p w14:paraId="5641F14B" w14:textId="77777777" w:rsidR="008E0448" w:rsidRDefault="00FF3140">
            <w:pPr>
              <w:keepNext/>
              <w:keepLines/>
            </w:pPr>
            <w:r>
              <w:rPr>
                <w:sz w:val="18"/>
              </w:rPr>
              <w:t>V007</w:t>
            </w:r>
          </w:p>
        </w:tc>
        <w:tc>
          <w:tcPr>
            <w:tcW w:w="1860" w:type="dxa"/>
            <w:tcMar>
              <w:top w:w="0" w:type="dxa"/>
              <w:bottom w:w="0" w:type="dxa"/>
            </w:tcMar>
            <w:vAlign w:val="center"/>
          </w:tcPr>
          <w:p w14:paraId="3AD2A549" w14:textId="77777777" w:rsidR="008E0448" w:rsidRDefault="00FF3140">
            <w:pPr>
              <w:keepNext/>
              <w:keepLines/>
              <w:jc w:val="right"/>
            </w:pPr>
            <w:r>
              <w:rPr>
                <w:sz w:val="18"/>
              </w:rPr>
              <w:t>4.765,54</w:t>
            </w:r>
          </w:p>
        </w:tc>
        <w:tc>
          <w:tcPr>
            <w:tcW w:w="700" w:type="dxa"/>
            <w:tcMar>
              <w:top w:w="0" w:type="dxa"/>
              <w:bottom w:w="0" w:type="dxa"/>
            </w:tcMar>
            <w:vAlign w:val="center"/>
          </w:tcPr>
          <w:p w14:paraId="3E1BAF98" w14:textId="77777777" w:rsidR="008E0448" w:rsidRDefault="00FF3140">
            <w:pPr>
              <w:keepNext/>
              <w:keepLines/>
              <w:jc w:val="right"/>
            </w:pPr>
            <w:r>
              <w:rPr>
                <w:sz w:val="18"/>
              </w:rPr>
              <w:t>-</w:t>
            </w:r>
          </w:p>
        </w:tc>
      </w:tr>
    </w:tbl>
    <w:p w14:paraId="0762A347" w14:textId="77777777" w:rsidR="008E0448" w:rsidRDefault="008E0448"/>
    <w:p w14:paraId="6E1E948F" w14:textId="77777777" w:rsidR="008E0448" w:rsidRDefault="00FF3140">
      <w:r>
        <w:t>Na dan 30. lipnja 2026. godine ukupno stanje dospjelih obveza iznosilo je 4.765,54 eura. Navedene obveze odnose se na račune za prehranu učenika koji su dospjeli na naplatu do kraja izvještajnog razdoblja, ali nisu podmireni.</w:t>
      </w:r>
    </w:p>
    <w:p w14:paraId="263633E0" w14:textId="77777777" w:rsidR="008E0448" w:rsidRDefault="00FF3140">
      <w:r>
        <w:t xml:space="preserve">Razlog nepodmirenja navedenih </w:t>
      </w:r>
      <w:r>
        <w:t>obveza nije nedostatak sredstava ili nemogućnost plaćanja, već način financiranja ovih rashoda. Naime, računi za prehranu podmiruju se nakon što osnivač zaprimi sredstva od Ministarstva znanosti, obrazovanja i mladih (MZOM) te ih doznači školi za tu namjen</w:t>
      </w:r>
      <w:r>
        <w:t>u. Budući da doznaka sredstava nije bila izvršena do kraja izvještajnog razdoblja, predmetni računi ostali su evidentirani kao dospjele nepodmirene obveze.</w:t>
      </w:r>
    </w:p>
    <w:p w14:paraId="0870F105" w14:textId="77777777" w:rsidR="008E0448" w:rsidRDefault="00FF3140">
      <w:r>
        <w:t>Nakon zaprimanja sredstava od osnivača, obveze će biti podmirene u redovnim rokovima plaćanja.</w:t>
      </w:r>
    </w:p>
    <w:p w14:paraId="6FDAFBB8" w14:textId="77777777" w:rsidR="008E0448" w:rsidRDefault="008E0448"/>
    <w:p w14:paraId="3EF7B6CF" w14:textId="77777777" w:rsidR="008E0448" w:rsidRDefault="00FF3140">
      <w:pPr>
        <w:keepNext/>
        <w:jc w:val="center"/>
      </w:pPr>
      <w:r>
        <w:rPr>
          <w:sz w:val="28"/>
        </w:rPr>
        <w:t>Bilj</w:t>
      </w:r>
      <w:r>
        <w:rPr>
          <w:sz w:val="28"/>
        </w:rPr>
        <w:t>eška 24.</w:t>
      </w:r>
    </w:p>
    <w:tbl>
      <w:tblPr>
        <w:tblW w:w="9000" w:type="dxa"/>
        <w:tblInd w:w="40" w:type="dxa"/>
        <w:tblBorders>
          <w:top w:val="single" w:sz="12" w:space="0" w:color="BABABA"/>
          <w:left w:val="single" w:sz="12" w:space="0" w:color="BABABA"/>
          <w:bottom w:val="single" w:sz="12" w:space="0" w:color="BABABA"/>
          <w:right w:val="single" w:sz="12" w:space="0" w:color="BABABA"/>
          <w:insideH w:val="single" w:sz="8" w:space="0" w:color="BABABA"/>
          <w:insideV w:val="single" w:sz="8" w:space="0" w:color="DADADA"/>
        </w:tblBorders>
        <w:tblLayout w:type="fixed"/>
        <w:tblCellMar>
          <w:left w:w="40" w:type="dxa"/>
          <w:right w:w="40" w:type="dxa"/>
        </w:tblCellMar>
        <w:tblLook w:val="04A0" w:firstRow="1" w:lastRow="0" w:firstColumn="1" w:lastColumn="0" w:noHBand="0" w:noVBand="1"/>
      </w:tblPr>
      <w:tblGrid>
        <w:gridCol w:w="883"/>
        <w:gridCol w:w="4008"/>
        <w:gridCol w:w="882"/>
        <w:gridCol w:w="2345"/>
        <w:gridCol w:w="882"/>
      </w:tblGrid>
      <w:tr w:rsidR="008E0448" w14:paraId="2A286728" w14:textId="77777777">
        <w:tblPrEx>
          <w:tblCellMar>
            <w:top w:w="0" w:type="dxa"/>
            <w:bottom w:w="0" w:type="dxa"/>
          </w:tblCellMar>
        </w:tblPrEx>
        <w:trPr>
          <w:cantSplit/>
        </w:trPr>
        <w:tc>
          <w:tcPr>
            <w:tcW w:w="700" w:type="dxa"/>
            <w:shd w:val="clear" w:color="auto" w:fill="E7F0F9"/>
            <w:tcMar>
              <w:top w:w="0" w:type="dxa"/>
              <w:bottom w:w="0" w:type="dxa"/>
            </w:tcMar>
            <w:vAlign w:val="center"/>
          </w:tcPr>
          <w:p w14:paraId="402CEB81" w14:textId="77777777" w:rsidR="008E0448" w:rsidRDefault="00FF3140">
            <w:pPr>
              <w:keepNext/>
              <w:keepLines/>
              <w:jc w:val="center"/>
            </w:pPr>
            <w:r>
              <w:rPr>
                <w:b/>
                <w:sz w:val="18"/>
              </w:rPr>
              <w:t>Račun iz rač. plana</w:t>
            </w:r>
          </w:p>
        </w:tc>
        <w:tc>
          <w:tcPr>
            <w:tcW w:w="3180" w:type="dxa"/>
            <w:shd w:val="clear" w:color="auto" w:fill="E7F0F9"/>
            <w:tcMar>
              <w:top w:w="0" w:type="dxa"/>
              <w:bottom w:w="0" w:type="dxa"/>
            </w:tcMar>
            <w:vAlign w:val="center"/>
          </w:tcPr>
          <w:p w14:paraId="16539892" w14:textId="77777777" w:rsidR="008E0448" w:rsidRDefault="00FF3140">
            <w:pPr>
              <w:keepNext/>
              <w:keepLines/>
              <w:jc w:val="center"/>
            </w:pPr>
            <w:r>
              <w:rPr>
                <w:b/>
                <w:sz w:val="18"/>
              </w:rPr>
              <w:t>Opis stavke</w:t>
            </w:r>
          </w:p>
        </w:tc>
        <w:tc>
          <w:tcPr>
            <w:tcW w:w="700" w:type="dxa"/>
            <w:shd w:val="clear" w:color="auto" w:fill="E7F0F9"/>
            <w:tcMar>
              <w:top w:w="0" w:type="dxa"/>
              <w:bottom w:w="0" w:type="dxa"/>
            </w:tcMar>
            <w:vAlign w:val="center"/>
          </w:tcPr>
          <w:p w14:paraId="2010D150" w14:textId="77777777" w:rsidR="008E0448" w:rsidRDefault="00FF3140">
            <w:pPr>
              <w:keepNext/>
              <w:keepLines/>
              <w:jc w:val="center"/>
            </w:pPr>
            <w:r>
              <w:rPr>
                <w:b/>
                <w:sz w:val="18"/>
              </w:rPr>
              <w:t>Šifra</w:t>
            </w:r>
          </w:p>
        </w:tc>
        <w:tc>
          <w:tcPr>
            <w:tcW w:w="1860" w:type="dxa"/>
            <w:shd w:val="clear" w:color="auto" w:fill="E7F0F9"/>
            <w:tcMar>
              <w:top w:w="0" w:type="dxa"/>
              <w:bottom w:w="0" w:type="dxa"/>
            </w:tcMar>
            <w:vAlign w:val="center"/>
          </w:tcPr>
          <w:p w14:paraId="403AAD59" w14:textId="77777777" w:rsidR="008E0448" w:rsidRDefault="00FF3140">
            <w:pPr>
              <w:keepNext/>
              <w:keepLines/>
              <w:jc w:val="center"/>
            </w:pPr>
            <w:r>
              <w:rPr>
                <w:b/>
                <w:sz w:val="18"/>
              </w:rPr>
              <w:t>Iznos</w:t>
            </w:r>
          </w:p>
        </w:tc>
        <w:tc>
          <w:tcPr>
            <w:tcW w:w="700" w:type="dxa"/>
            <w:shd w:val="clear" w:color="auto" w:fill="E7F0F9"/>
            <w:tcMar>
              <w:top w:w="0" w:type="dxa"/>
              <w:bottom w:w="0" w:type="dxa"/>
            </w:tcMar>
            <w:vAlign w:val="center"/>
          </w:tcPr>
          <w:p w14:paraId="26190D85" w14:textId="77777777" w:rsidR="008E0448" w:rsidRDefault="00FF3140">
            <w:pPr>
              <w:keepNext/>
              <w:keepLines/>
              <w:jc w:val="center"/>
            </w:pPr>
            <w:r>
              <w:rPr>
                <w:b/>
                <w:sz w:val="18"/>
              </w:rPr>
              <w:t>Indeks (%)</w:t>
            </w:r>
          </w:p>
        </w:tc>
      </w:tr>
      <w:tr w:rsidR="008E0448" w14:paraId="616AC842" w14:textId="77777777">
        <w:tblPrEx>
          <w:tblCellMar>
            <w:top w:w="0" w:type="dxa"/>
            <w:bottom w:w="0" w:type="dxa"/>
          </w:tblCellMar>
        </w:tblPrEx>
        <w:trPr>
          <w:cantSplit/>
          <w:trHeight w:val="560"/>
        </w:trPr>
        <w:tc>
          <w:tcPr>
            <w:tcW w:w="700" w:type="dxa"/>
            <w:tcMar>
              <w:top w:w="0" w:type="dxa"/>
              <w:bottom w:w="0" w:type="dxa"/>
            </w:tcMar>
            <w:vAlign w:val="center"/>
          </w:tcPr>
          <w:p w14:paraId="6B0A3A14" w14:textId="77777777" w:rsidR="008E0448" w:rsidRDefault="008E0448">
            <w:pPr>
              <w:keepNext/>
              <w:keepLines/>
            </w:pPr>
          </w:p>
        </w:tc>
        <w:tc>
          <w:tcPr>
            <w:tcW w:w="3180" w:type="dxa"/>
            <w:tcMar>
              <w:top w:w="0" w:type="dxa"/>
              <w:bottom w:w="0" w:type="dxa"/>
            </w:tcMar>
            <w:vAlign w:val="center"/>
          </w:tcPr>
          <w:p w14:paraId="0262F539" w14:textId="77777777" w:rsidR="008E0448" w:rsidRDefault="00FF3140">
            <w:pPr>
              <w:keepNext/>
              <w:keepLines/>
            </w:pPr>
            <w:r>
              <w:rPr>
                <w:sz w:val="18"/>
              </w:rPr>
              <w:t>Stanje nedospjelih obveza na kraju izvještajnog razdoblja (šifre V010 + ND23 + ND24 + 'ND dio 25,26' + ND27)</w:t>
            </w:r>
          </w:p>
        </w:tc>
        <w:tc>
          <w:tcPr>
            <w:tcW w:w="700" w:type="dxa"/>
            <w:tcMar>
              <w:top w:w="0" w:type="dxa"/>
              <w:bottom w:w="0" w:type="dxa"/>
            </w:tcMar>
            <w:vAlign w:val="center"/>
          </w:tcPr>
          <w:p w14:paraId="29664B2C" w14:textId="77777777" w:rsidR="008E0448" w:rsidRDefault="00FF3140">
            <w:pPr>
              <w:keepNext/>
              <w:keepLines/>
            </w:pPr>
            <w:r>
              <w:rPr>
                <w:sz w:val="18"/>
              </w:rPr>
              <w:t>V009</w:t>
            </w:r>
          </w:p>
        </w:tc>
        <w:tc>
          <w:tcPr>
            <w:tcW w:w="1860" w:type="dxa"/>
            <w:tcMar>
              <w:top w:w="0" w:type="dxa"/>
              <w:bottom w:w="0" w:type="dxa"/>
            </w:tcMar>
            <w:vAlign w:val="center"/>
          </w:tcPr>
          <w:p w14:paraId="545EAB0E" w14:textId="77777777" w:rsidR="008E0448" w:rsidRDefault="00FF3140">
            <w:pPr>
              <w:keepNext/>
              <w:keepLines/>
              <w:jc w:val="right"/>
            </w:pPr>
            <w:r>
              <w:rPr>
                <w:sz w:val="18"/>
              </w:rPr>
              <w:t>349.607,04</w:t>
            </w:r>
          </w:p>
        </w:tc>
        <w:tc>
          <w:tcPr>
            <w:tcW w:w="700" w:type="dxa"/>
            <w:tcMar>
              <w:top w:w="0" w:type="dxa"/>
              <w:bottom w:w="0" w:type="dxa"/>
            </w:tcMar>
            <w:vAlign w:val="center"/>
          </w:tcPr>
          <w:p w14:paraId="4ED52149" w14:textId="77777777" w:rsidR="008E0448" w:rsidRDefault="00FF3140">
            <w:pPr>
              <w:keepNext/>
              <w:keepLines/>
              <w:jc w:val="right"/>
            </w:pPr>
            <w:r>
              <w:rPr>
                <w:sz w:val="18"/>
              </w:rPr>
              <w:t>-</w:t>
            </w:r>
          </w:p>
        </w:tc>
      </w:tr>
    </w:tbl>
    <w:p w14:paraId="5891648A" w14:textId="77777777" w:rsidR="008E0448" w:rsidRDefault="008E0448"/>
    <w:p w14:paraId="5CCAF6CB" w14:textId="77777777" w:rsidR="008E0448" w:rsidRDefault="00FF3140">
      <w:r>
        <w:t>Stanje nedospjelih obveza na kraju izvještajnog razdoblja odnosi se na obveze za rashode poslovanja koje nisu dospjele na naplatu do datuma sastavljanja izvještaja. Navedene obveze najvećim se dijelom odnose na obveze za plaće zaposlenika za lipanj, doprin</w:t>
      </w:r>
      <w:r>
        <w:t>ose, naknade za prijevoz te ostala zakonom utvrđena davanja zaposlenicima, kao i na obveze za režijske troškove nastale u lipnju, čija je dospjelost plaćanja u srpnju.</w:t>
      </w:r>
    </w:p>
    <w:p w14:paraId="716AC2D4" w14:textId="77777777" w:rsidR="008E0448" w:rsidRDefault="008E0448"/>
    <w:sectPr w:rsidR="008E044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448"/>
    <w:rsid w:val="008E0448"/>
    <w:rsid w:val="00FF3140"/>
  </w:rsids>
  <m:mathPr>
    <m:mathFont m:val="Cambria Math"/>
    <m:brkBin m:val="before"/>
    <m:brkBinSub m:val="--"/>
    <m:smallFrac m:val="0"/>
    <m:dispDef/>
    <m:lMargin m:val="0"/>
    <m:rMargin m:val="0"/>
    <m:defJc m:val="centerGroup"/>
    <m:wrapIndent m:val="1440"/>
    <m:intLim m:val="subSup"/>
    <m:naryLim m:val="undOvr"/>
  </m:mathPr>
  <w:themeFontLang w:val="en-HR"/>
  <w:clrSchemeMapping w:bg1="light1" w:t1="dark1" w:bg2="light2" w:t2="dark2" w:accent1="accent1" w:accent2="accent2" w:accent3="accent3" w:accent4="accent4" w:accent5="accent5" w:accent6="accent6" w:hyperlink="hyperlink" w:followedHyperlink="followedHyperlink"/>
  <w:decimalSymbol w:val=","/>
  <w:listSeparator w:val=","/>
  <w14:docId w14:val="38F13821"/>
  <w15:docId w15:val="{C95C8D73-77D7-1C4C-BE9B-D6F98B187E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en-H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2522</Words>
  <Characters>14379</Characters>
  <Application>Microsoft Office Word</Application>
  <DocSecurity>0</DocSecurity>
  <Lines>119</Lines>
  <Paragraphs>33</Paragraphs>
  <ScaleCrop>false</ScaleCrop>
  <Company/>
  <LinksUpToDate>false</LinksUpToDate>
  <CharactersWithSpaces>16868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Ivica Radošević</cp:lastModifiedBy>
  <cp:revision>2</cp:revision>
  <dcterms:created xsi:type="dcterms:W3CDTF">2026-07-21T06:51:00Z</dcterms:created>
  <dcterms:modified xsi:type="dcterms:W3CDTF">2026-07-21T06:51:00Z</dcterms:modified>
</cp:coreProperties>
</file>