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F137A" w14:textId="77777777" w:rsidR="003A0E08" w:rsidRDefault="003A0E08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2B2E7A" w14:textId="77777777" w:rsidR="003A0E08" w:rsidRDefault="003A0E08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A2BB3E" w14:textId="77777777" w:rsidR="003A0E08" w:rsidRDefault="003A0E08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404BB20" wp14:editId="448B6961">
            <wp:extent cx="4962363" cy="1213658"/>
            <wp:effectExtent l="19050" t="0" r="0" b="0"/>
            <wp:docPr id="2" name="Slika 1" descr="Osnovna škola dr. Jure Tur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na škola dr. Jure Turić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204" cy="1214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5E07D" w14:textId="77777777" w:rsidR="003A0E08" w:rsidRDefault="003A0E08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7B1E045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602C">
        <w:rPr>
          <w:rFonts w:asciiTheme="minorHAnsi" w:hAnsiTheme="minorHAnsi" w:cstheme="minorHAnsi"/>
          <w:b/>
          <w:sz w:val="24"/>
          <w:szCs w:val="24"/>
        </w:rPr>
        <w:t xml:space="preserve">Republika Hrvatska </w:t>
      </w:r>
    </w:p>
    <w:p w14:paraId="3DF58E22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602C">
        <w:rPr>
          <w:rFonts w:asciiTheme="minorHAnsi" w:hAnsiTheme="minorHAnsi" w:cstheme="minorHAnsi"/>
          <w:b/>
          <w:sz w:val="24"/>
          <w:szCs w:val="24"/>
        </w:rPr>
        <w:t>Ličko-senjska županija</w:t>
      </w:r>
    </w:p>
    <w:p w14:paraId="105A8ABE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602C">
        <w:rPr>
          <w:rFonts w:asciiTheme="minorHAnsi" w:hAnsiTheme="minorHAnsi" w:cstheme="minorHAnsi"/>
          <w:b/>
          <w:sz w:val="24"/>
          <w:szCs w:val="24"/>
        </w:rPr>
        <w:t>Grad Gospić</w:t>
      </w:r>
    </w:p>
    <w:p w14:paraId="7C894D12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602C">
        <w:rPr>
          <w:rFonts w:asciiTheme="minorHAnsi" w:hAnsiTheme="minorHAnsi" w:cstheme="minorHAnsi"/>
          <w:b/>
          <w:sz w:val="24"/>
          <w:szCs w:val="24"/>
        </w:rPr>
        <w:t>Osnovna škola dr. Jure Turića</w:t>
      </w:r>
    </w:p>
    <w:p w14:paraId="3A5EB8A1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602C">
        <w:rPr>
          <w:rFonts w:asciiTheme="minorHAnsi" w:hAnsiTheme="minorHAnsi" w:cstheme="minorHAnsi"/>
          <w:b/>
          <w:sz w:val="24"/>
          <w:szCs w:val="24"/>
        </w:rPr>
        <w:t>Miroslava Kraljevića 15, Gospić</w:t>
      </w:r>
    </w:p>
    <w:p w14:paraId="5EDDD386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602C">
        <w:rPr>
          <w:rFonts w:asciiTheme="minorHAnsi" w:hAnsiTheme="minorHAnsi" w:cstheme="minorHAnsi"/>
          <w:b/>
          <w:sz w:val="24"/>
          <w:szCs w:val="24"/>
        </w:rPr>
        <w:t>OIB:81152039635</w:t>
      </w:r>
    </w:p>
    <w:p w14:paraId="7F08B01D" w14:textId="77777777" w:rsidR="005038AD" w:rsidRPr="001F602C" w:rsidRDefault="005038AD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>MB: 03315550</w:t>
      </w:r>
    </w:p>
    <w:p w14:paraId="0B595315" w14:textId="77777777" w:rsidR="005038AD" w:rsidRPr="001F602C" w:rsidRDefault="005038AD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>Šifra: 09-026-001</w:t>
      </w:r>
    </w:p>
    <w:p w14:paraId="7CD4FA8E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>RKDP: 08738</w:t>
      </w:r>
    </w:p>
    <w:p w14:paraId="119D270E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>R</w:t>
      </w:r>
      <w:r w:rsidR="005038AD" w:rsidRPr="001F602C">
        <w:rPr>
          <w:rFonts w:asciiTheme="minorHAnsi" w:hAnsiTheme="minorHAnsi" w:cstheme="minorHAnsi"/>
          <w:bCs/>
          <w:sz w:val="24"/>
          <w:szCs w:val="24"/>
        </w:rPr>
        <w:t>AZINA: 31</w:t>
      </w:r>
    </w:p>
    <w:p w14:paraId="54EFF52A" w14:textId="77777777" w:rsidR="00F10405" w:rsidRPr="001F602C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>E-mail:</w:t>
      </w:r>
      <w:r w:rsidR="00E14743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9" w:history="1">
        <w:r w:rsidR="00634C52" w:rsidRPr="001F602C">
          <w:rPr>
            <w:rStyle w:val="Hiperveza"/>
            <w:rFonts w:asciiTheme="minorHAnsi" w:hAnsiTheme="minorHAnsi" w:cstheme="minorHAnsi"/>
            <w:bCs/>
            <w:sz w:val="24"/>
            <w:szCs w:val="24"/>
          </w:rPr>
          <w:t>ured@os-jturic-gospic.skole.hr</w:t>
        </w:r>
      </w:hyperlink>
    </w:p>
    <w:p w14:paraId="149D2520" w14:textId="77777777" w:rsidR="005038AD" w:rsidRPr="001F602C" w:rsidRDefault="005038AD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>Tel.: 053/560-142</w:t>
      </w:r>
    </w:p>
    <w:p w14:paraId="6BA6006F" w14:textId="77777777" w:rsidR="00F10405" w:rsidRPr="006F1249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 xml:space="preserve">KLASA: </w:t>
      </w:r>
      <w:r w:rsidR="00E14743">
        <w:rPr>
          <w:rFonts w:asciiTheme="minorHAnsi" w:hAnsiTheme="minorHAnsi" w:cstheme="minorHAnsi"/>
          <w:bCs/>
          <w:sz w:val="24"/>
          <w:szCs w:val="24"/>
        </w:rPr>
        <w:t>400-04/26-01/02</w:t>
      </w:r>
    </w:p>
    <w:p w14:paraId="5A6B8AEC" w14:textId="77777777" w:rsidR="005038AD" w:rsidRPr="00C6281B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 xml:space="preserve">URBROJ: </w:t>
      </w:r>
      <w:r w:rsidR="00E14743">
        <w:rPr>
          <w:rFonts w:asciiTheme="minorHAnsi" w:hAnsiTheme="minorHAnsi" w:cstheme="minorHAnsi"/>
          <w:bCs/>
          <w:sz w:val="24"/>
          <w:szCs w:val="24"/>
        </w:rPr>
        <w:t>2125-1-24-01-26-01</w:t>
      </w:r>
    </w:p>
    <w:p w14:paraId="6ABD6F73" w14:textId="77777777" w:rsidR="005038AD" w:rsidRDefault="00F10405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 xml:space="preserve">Gospić, </w:t>
      </w:r>
      <w:r w:rsidR="00D30D7E">
        <w:rPr>
          <w:rFonts w:asciiTheme="minorHAnsi" w:hAnsiTheme="minorHAnsi" w:cstheme="minorHAnsi"/>
          <w:bCs/>
          <w:sz w:val="24"/>
          <w:szCs w:val="24"/>
        </w:rPr>
        <w:t>30</w:t>
      </w:r>
      <w:r w:rsidR="00420DFD" w:rsidRPr="003834F0">
        <w:rPr>
          <w:rFonts w:asciiTheme="minorHAnsi" w:hAnsiTheme="minorHAnsi" w:cstheme="minorHAnsi"/>
          <w:bCs/>
          <w:sz w:val="24"/>
          <w:szCs w:val="24"/>
        </w:rPr>
        <w:t>.</w:t>
      </w:r>
      <w:r w:rsidR="00D30D7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21730" w:rsidRPr="003834F0">
        <w:rPr>
          <w:rFonts w:asciiTheme="minorHAnsi" w:hAnsiTheme="minorHAnsi" w:cstheme="minorHAnsi"/>
          <w:bCs/>
          <w:sz w:val="24"/>
          <w:szCs w:val="24"/>
        </w:rPr>
        <w:t>ožujak</w:t>
      </w:r>
      <w:r w:rsidRPr="003834F0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9C1132">
        <w:rPr>
          <w:rFonts w:asciiTheme="minorHAnsi" w:hAnsiTheme="minorHAnsi" w:cstheme="minorHAnsi"/>
          <w:bCs/>
          <w:sz w:val="24"/>
          <w:szCs w:val="24"/>
        </w:rPr>
        <w:t>6</w:t>
      </w:r>
      <w:r w:rsidRPr="003834F0">
        <w:rPr>
          <w:rFonts w:asciiTheme="minorHAnsi" w:hAnsiTheme="minorHAnsi" w:cstheme="minorHAnsi"/>
          <w:bCs/>
          <w:sz w:val="24"/>
          <w:szCs w:val="24"/>
        </w:rPr>
        <w:t>.g</w:t>
      </w:r>
      <w:r w:rsidR="003834F0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698851" w14:textId="77777777" w:rsidR="00C6281B" w:rsidRPr="001F602C" w:rsidRDefault="00C6281B" w:rsidP="001F602C">
      <w:pPr>
        <w:shd w:val="clear" w:color="auto" w:fill="FFFFFF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B9F305D" w14:textId="77777777" w:rsidR="00C84DF6" w:rsidRDefault="00C84DF6" w:rsidP="001F602C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50F4EAE" w14:textId="77777777" w:rsidR="00C84DF6" w:rsidRDefault="00C84DF6" w:rsidP="001F602C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74A4AD8" w14:textId="77777777" w:rsidR="00C84DF6" w:rsidRDefault="00C84DF6" w:rsidP="001F602C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8260DF3" w14:textId="77777777" w:rsidR="005038AD" w:rsidRPr="00C6281B" w:rsidRDefault="00061959" w:rsidP="00C84DF6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81B">
        <w:rPr>
          <w:rFonts w:asciiTheme="minorHAnsi" w:hAnsiTheme="minorHAnsi" w:cstheme="minorHAnsi"/>
          <w:b/>
          <w:sz w:val="24"/>
          <w:szCs w:val="24"/>
        </w:rPr>
        <w:t>Obrazloženje Izvje</w:t>
      </w:r>
      <w:r w:rsidR="00D16497" w:rsidRPr="00C6281B">
        <w:rPr>
          <w:rFonts w:asciiTheme="minorHAnsi" w:hAnsiTheme="minorHAnsi" w:cstheme="minorHAnsi"/>
          <w:b/>
          <w:sz w:val="24"/>
          <w:szCs w:val="24"/>
        </w:rPr>
        <w:t>štaja</w:t>
      </w:r>
      <w:r w:rsidRPr="00C6281B">
        <w:rPr>
          <w:rFonts w:asciiTheme="minorHAnsi" w:hAnsiTheme="minorHAnsi" w:cstheme="minorHAnsi"/>
          <w:b/>
          <w:sz w:val="24"/>
          <w:szCs w:val="24"/>
        </w:rPr>
        <w:t xml:space="preserve"> o </w:t>
      </w:r>
      <w:r w:rsidR="00F83470" w:rsidRPr="00C6281B">
        <w:rPr>
          <w:rFonts w:asciiTheme="minorHAnsi" w:hAnsiTheme="minorHAnsi" w:cstheme="minorHAnsi"/>
          <w:b/>
          <w:sz w:val="24"/>
          <w:szCs w:val="24"/>
        </w:rPr>
        <w:t>i</w:t>
      </w:r>
      <w:r w:rsidRPr="00C6281B">
        <w:rPr>
          <w:rFonts w:asciiTheme="minorHAnsi" w:hAnsiTheme="minorHAnsi" w:cstheme="minorHAnsi"/>
          <w:b/>
          <w:sz w:val="24"/>
          <w:szCs w:val="24"/>
        </w:rPr>
        <w:t>zvršenju financijskog plana za 202</w:t>
      </w:r>
      <w:r w:rsidR="001C13CE" w:rsidRPr="00C6281B">
        <w:rPr>
          <w:rFonts w:asciiTheme="minorHAnsi" w:hAnsiTheme="minorHAnsi" w:cstheme="minorHAnsi"/>
          <w:b/>
          <w:sz w:val="24"/>
          <w:szCs w:val="24"/>
        </w:rPr>
        <w:t>5</w:t>
      </w:r>
      <w:r w:rsidRPr="00C6281B">
        <w:rPr>
          <w:rFonts w:asciiTheme="minorHAnsi" w:hAnsiTheme="minorHAnsi" w:cstheme="minorHAnsi"/>
          <w:b/>
          <w:sz w:val="24"/>
          <w:szCs w:val="24"/>
        </w:rPr>
        <w:t>.g</w:t>
      </w:r>
    </w:p>
    <w:p w14:paraId="36F1CFB6" w14:textId="77777777" w:rsidR="00061959" w:rsidRPr="00C6281B" w:rsidRDefault="00C84DF6" w:rsidP="00C84DF6">
      <w:pPr>
        <w:pStyle w:val="Odlomakpopisa"/>
        <w:shd w:val="clear" w:color="auto" w:fill="FFFFFF"/>
        <w:spacing w:line="276" w:lineRule="auto"/>
        <w:ind w:left="178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061959" w:rsidRPr="00C6281B">
        <w:rPr>
          <w:rFonts w:asciiTheme="minorHAnsi" w:hAnsiTheme="minorHAnsi" w:cstheme="minorHAnsi"/>
          <w:bCs/>
          <w:sz w:val="24"/>
          <w:szCs w:val="24"/>
        </w:rPr>
        <w:t>za razdoblje 01.01.202</w:t>
      </w:r>
      <w:r w:rsidR="001C13CE" w:rsidRPr="00C6281B">
        <w:rPr>
          <w:rFonts w:asciiTheme="minorHAnsi" w:hAnsiTheme="minorHAnsi" w:cstheme="minorHAnsi"/>
          <w:bCs/>
          <w:sz w:val="24"/>
          <w:szCs w:val="24"/>
        </w:rPr>
        <w:t>5</w:t>
      </w:r>
      <w:r w:rsidR="00061959" w:rsidRPr="00C6281B">
        <w:rPr>
          <w:rFonts w:asciiTheme="minorHAnsi" w:hAnsiTheme="minorHAnsi" w:cstheme="minorHAnsi"/>
          <w:bCs/>
          <w:sz w:val="24"/>
          <w:szCs w:val="24"/>
        </w:rPr>
        <w:t>.</w:t>
      </w:r>
      <w:r w:rsidR="00B21730" w:rsidRPr="00C6281B">
        <w:rPr>
          <w:rFonts w:asciiTheme="minorHAnsi" w:hAnsiTheme="minorHAnsi" w:cstheme="minorHAnsi"/>
          <w:bCs/>
          <w:sz w:val="24"/>
          <w:szCs w:val="24"/>
        </w:rPr>
        <w:t>–</w:t>
      </w:r>
      <w:r w:rsidR="00061959" w:rsidRPr="00C6281B">
        <w:rPr>
          <w:rFonts w:asciiTheme="minorHAnsi" w:hAnsiTheme="minorHAnsi" w:cstheme="minorHAnsi"/>
          <w:bCs/>
          <w:sz w:val="24"/>
          <w:szCs w:val="24"/>
        </w:rPr>
        <w:t>3</w:t>
      </w:r>
      <w:r w:rsidR="00B21730" w:rsidRPr="00C6281B">
        <w:rPr>
          <w:rFonts w:asciiTheme="minorHAnsi" w:hAnsiTheme="minorHAnsi" w:cstheme="minorHAnsi"/>
          <w:bCs/>
          <w:sz w:val="24"/>
          <w:szCs w:val="24"/>
        </w:rPr>
        <w:t>1.12</w:t>
      </w:r>
      <w:r w:rsidR="00061959" w:rsidRPr="00C6281B">
        <w:rPr>
          <w:rFonts w:asciiTheme="minorHAnsi" w:hAnsiTheme="minorHAnsi" w:cstheme="minorHAnsi"/>
          <w:bCs/>
          <w:sz w:val="24"/>
          <w:szCs w:val="24"/>
        </w:rPr>
        <w:t>.202</w:t>
      </w:r>
      <w:r w:rsidR="001C13CE" w:rsidRPr="00C6281B">
        <w:rPr>
          <w:rFonts w:asciiTheme="minorHAnsi" w:hAnsiTheme="minorHAnsi" w:cstheme="minorHAnsi"/>
          <w:bCs/>
          <w:sz w:val="24"/>
          <w:szCs w:val="24"/>
        </w:rPr>
        <w:t>5</w:t>
      </w:r>
      <w:r w:rsidR="00061959" w:rsidRPr="00C6281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BA47F0" w14:textId="77777777" w:rsidR="00F10405" w:rsidRPr="00C6281B" w:rsidRDefault="00F10405" w:rsidP="00C84DF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66C5B1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BAC263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GoBack"/>
      <w:bookmarkEnd w:id="0"/>
    </w:p>
    <w:p w14:paraId="2AC01473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5DD5A5E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7E092C7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D6BB2D6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1628581651"/>
        <w:docPartObj>
          <w:docPartGallery w:val="Table of Contents"/>
          <w:docPartUnique/>
        </w:docPartObj>
      </w:sdtPr>
      <w:sdtEndPr/>
      <w:sdtContent>
        <w:p w14:paraId="67B88DB6" w14:textId="77777777" w:rsidR="003A0E08" w:rsidRDefault="003A0E08">
          <w:pPr>
            <w:pStyle w:val="TOCNaslov"/>
            <w:rPr>
              <w:rFonts w:asciiTheme="minorHAnsi" w:hAnsiTheme="minorHAnsi" w:cstheme="minorHAnsi"/>
              <w:sz w:val="24"/>
              <w:szCs w:val="24"/>
            </w:rPr>
          </w:pPr>
          <w:r w:rsidRPr="003A0E08">
            <w:rPr>
              <w:rFonts w:asciiTheme="minorHAnsi" w:hAnsiTheme="minorHAnsi" w:cstheme="minorHAnsi"/>
              <w:sz w:val="24"/>
              <w:szCs w:val="24"/>
            </w:rPr>
            <w:t>Sadržaj</w:t>
          </w:r>
        </w:p>
        <w:p w14:paraId="2E217462" w14:textId="77777777" w:rsidR="003A0E08" w:rsidRPr="003A0E08" w:rsidRDefault="003A0E08" w:rsidP="003A0E08"/>
        <w:p w14:paraId="547A9157" w14:textId="77777777" w:rsidR="003A0E08" w:rsidRDefault="003A0E08" w:rsidP="00E35835">
          <w:pPr>
            <w:pStyle w:val="Sadraj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r w:rsidRPr="003A0E08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3A0E08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3A0E08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225494583" w:history="1">
            <w:r w:rsidRPr="00765B13">
              <w:rPr>
                <w:rStyle w:val="Hiperveza"/>
                <w:noProof/>
              </w:rPr>
              <w:t>I.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_Toc225494583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6AA37" w14:textId="77777777" w:rsidR="003A0E08" w:rsidRDefault="00C729CD" w:rsidP="00E35835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84" w:history="1">
            <w:r w:rsidR="003A0E08" w:rsidRPr="00765B13">
              <w:rPr>
                <w:rStyle w:val="Hiperveza"/>
                <w:noProof/>
              </w:rPr>
              <w:t>SAŽETAK RAČUNA PRIHODA I RASHODA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_Toc225494584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2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4F5D0A99" w14:textId="77777777" w:rsidR="003A0E08" w:rsidRDefault="00C729CD" w:rsidP="00E35835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85" w:history="1">
            <w:r w:rsidR="003A0E08" w:rsidRPr="00765B13">
              <w:rPr>
                <w:rStyle w:val="Hiperveza"/>
                <w:noProof/>
              </w:rPr>
              <w:t>IZVJEŠTAJ O PRIHODIMA I RASHODIMA PREMA EKONOMSKOJ KLASIFIKACIJI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_Toc225494585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3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3F6C6AEC" w14:textId="77777777" w:rsidR="003A0E08" w:rsidRDefault="00C729CD" w:rsidP="00E35835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86" w:history="1">
            <w:r w:rsidR="003A0E08" w:rsidRPr="00765B13">
              <w:rPr>
                <w:rStyle w:val="Hiperveza"/>
                <w:noProof/>
                <w:lang w:eastAsia="hr-HR"/>
              </w:rPr>
              <w:t>IZVJEŠTAJ O PRIHODIMA I RASHODIMA PREMA IZVORIMA FINANCIRANJA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_Toc225494586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5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3D4EA352" w14:textId="77777777" w:rsidR="003A0E08" w:rsidRDefault="00C729CD" w:rsidP="00E35835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87" w:history="1">
            <w:r w:rsidR="003A0E08" w:rsidRPr="00765B13">
              <w:rPr>
                <w:rStyle w:val="Hiperveza"/>
                <w:noProof/>
              </w:rPr>
              <w:t>IZVJEŠTAJ O RASHODIMA PREMA FUNKCIJSKOJ KLASIFIKACIJI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_Toc225494587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6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0CDC547D" w14:textId="77777777" w:rsidR="003A0E08" w:rsidRDefault="00C729CD" w:rsidP="00E35835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88" w:history="1">
            <w:r w:rsidR="003A0E08" w:rsidRPr="00765B13">
              <w:rPr>
                <w:rStyle w:val="Hiperveza"/>
                <w:noProof/>
              </w:rPr>
              <w:t>IZVJEŠTAJ O KORIŠTENJU SREDSTAVA FONDOVA EUROPSKE UNIJE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_Toc225494588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7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7BA1EEC3" w14:textId="77777777" w:rsidR="003A0E08" w:rsidRDefault="00C729CD" w:rsidP="00E35835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89" w:history="1">
            <w:r w:rsidR="003A0E08" w:rsidRPr="00765B13">
              <w:rPr>
                <w:rStyle w:val="Hiperveza"/>
                <w:noProof/>
              </w:rPr>
              <w:t>RAČUN FINANCIRANJA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_Toc225494589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7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0E51A741" w14:textId="77777777" w:rsidR="003A0E08" w:rsidRDefault="00C729CD" w:rsidP="00E35835">
          <w:pPr>
            <w:pStyle w:val="Sadraj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90" w:history="1">
            <w:r w:rsidR="003A0E08" w:rsidRPr="00765B13">
              <w:rPr>
                <w:rStyle w:val="Hiperveza"/>
                <w:noProof/>
              </w:rPr>
              <w:t>II. POSEBNI DIO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_Toc225494590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8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6D8A1831" w14:textId="77777777" w:rsidR="003A0E08" w:rsidRDefault="00C729CD" w:rsidP="00E35835">
          <w:pPr>
            <w:pStyle w:val="Sadraj3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91" w:history="1">
            <w:r w:rsidR="003A0E08" w:rsidRPr="00765B13">
              <w:rPr>
                <w:rStyle w:val="Hiperveza"/>
                <w:noProof/>
              </w:rPr>
              <w:t>Posebni izvještaji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_Toc225494591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10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65CEF6C0" w14:textId="77777777" w:rsidR="003A0E08" w:rsidRDefault="00C729CD" w:rsidP="00E35835">
          <w:pPr>
            <w:pStyle w:val="Sadraj3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92" w:history="1">
            <w:r w:rsidR="003A0E08" w:rsidRPr="00765B13">
              <w:rPr>
                <w:rStyle w:val="Hiperveza"/>
                <w:noProof/>
              </w:rPr>
              <w:t>Izvještaj o stanju potraživanja i dospjelih obveza te o stanju potencijalnih obveza po osnovi sudskih sporova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_Toc225494592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11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4FDD13C4" w14:textId="77777777" w:rsidR="003A0E08" w:rsidRDefault="00C729CD" w:rsidP="00E35835">
          <w:pPr>
            <w:pStyle w:val="Sadraj3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225494593" w:history="1">
            <w:r w:rsidR="003A0E08" w:rsidRPr="00765B13">
              <w:rPr>
                <w:rStyle w:val="Hiperveza"/>
                <w:noProof/>
              </w:rPr>
              <w:t>Popis tablica i grafikona:</w:t>
            </w:r>
            <w:r w:rsidR="003A0E08">
              <w:rPr>
                <w:noProof/>
                <w:webHidden/>
              </w:rPr>
              <w:tab/>
            </w:r>
            <w:r w:rsidR="003A0E08">
              <w:rPr>
                <w:noProof/>
                <w:webHidden/>
              </w:rPr>
              <w:fldChar w:fldCharType="begin"/>
            </w:r>
            <w:r w:rsidR="003A0E08">
              <w:rPr>
                <w:noProof/>
                <w:webHidden/>
              </w:rPr>
              <w:instrText xml:space="preserve"> PAGEREF _Toc225494593 \h </w:instrText>
            </w:r>
            <w:r w:rsidR="003A0E08">
              <w:rPr>
                <w:noProof/>
                <w:webHidden/>
              </w:rPr>
            </w:r>
            <w:r w:rsidR="003A0E08">
              <w:rPr>
                <w:noProof/>
                <w:webHidden/>
              </w:rPr>
              <w:fldChar w:fldCharType="separate"/>
            </w:r>
            <w:r w:rsidR="003A0E08">
              <w:rPr>
                <w:noProof/>
                <w:webHidden/>
              </w:rPr>
              <w:t>12</w:t>
            </w:r>
            <w:r w:rsidR="003A0E08">
              <w:rPr>
                <w:noProof/>
                <w:webHidden/>
              </w:rPr>
              <w:fldChar w:fldCharType="end"/>
            </w:r>
          </w:hyperlink>
        </w:p>
        <w:p w14:paraId="6F4C353F" w14:textId="77777777" w:rsidR="003A0E08" w:rsidRDefault="003A0E08">
          <w:r w:rsidRPr="003A0E08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p>
      </w:sdtContent>
    </w:sdt>
    <w:p w14:paraId="59A39311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34DE3A4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E22FD12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F5363FE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140680B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2719EC8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4A6A6F2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F879EDB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3871B21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9E442E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48F8435" w14:textId="77777777" w:rsidR="005F0997" w:rsidRDefault="005F0997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D2FF9E9" w14:textId="77777777" w:rsidR="00C84DF6" w:rsidRDefault="00C84DF6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4935C8C" w14:textId="77777777" w:rsidR="00C84DF6" w:rsidRDefault="00C84DF6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  <w:sectPr w:rsidR="00C84DF6" w:rsidSect="002650A8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525F46" w14:textId="709762B6" w:rsidR="00061959" w:rsidRPr="00C6281B" w:rsidRDefault="00061959" w:rsidP="00C6281B">
      <w:pPr>
        <w:pStyle w:val="Naslov5"/>
        <w:spacing w:before="150" w:beforeAutospacing="0" w:after="150" w:afterAutospacing="0" w:line="360" w:lineRule="auto"/>
        <w:jc w:val="both"/>
        <w:rPr>
          <w:rFonts w:asciiTheme="minorHAnsi" w:hAnsiTheme="minorHAnsi" w:cstheme="minorHAnsi"/>
          <w:b w:val="0"/>
          <w:bCs w:val="0"/>
          <w:color w:val="414145"/>
          <w:sz w:val="24"/>
          <w:szCs w:val="24"/>
        </w:rPr>
      </w:pPr>
      <w:r w:rsidRPr="001F602C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Obveza izrade godišnjeg izvještaja o izvršenju financijskog plana proračunskih korisnika čl</w:t>
      </w:r>
      <w:r w:rsidR="004C1B0C">
        <w:rPr>
          <w:rFonts w:asciiTheme="minorHAnsi" w:hAnsiTheme="minorHAnsi" w:cstheme="minorHAnsi"/>
          <w:b w:val="0"/>
          <w:bCs w:val="0"/>
          <w:sz w:val="24"/>
          <w:szCs w:val="24"/>
        </w:rPr>
        <w:t>.81  Zakona o proračunu NN144/</w:t>
      </w:r>
      <w:r w:rsidRPr="001F602C">
        <w:rPr>
          <w:rFonts w:asciiTheme="minorHAnsi" w:hAnsiTheme="minorHAnsi" w:cstheme="minorHAnsi"/>
          <w:b w:val="0"/>
          <w:bCs w:val="0"/>
          <w:sz w:val="24"/>
          <w:szCs w:val="24"/>
        </w:rPr>
        <w:t>21</w:t>
      </w:r>
      <w:r w:rsidR="004C1B0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te </w:t>
      </w:r>
      <w:r w:rsidR="004C1B0C" w:rsidRPr="001F602C">
        <w:rPr>
          <w:rFonts w:asciiTheme="minorHAnsi" w:hAnsiTheme="minorHAnsi" w:cstheme="minorHAnsi"/>
          <w:b w:val="0"/>
          <w:bCs w:val="0"/>
          <w:color w:val="414145"/>
          <w:sz w:val="24"/>
          <w:szCs w:val="24"/>
        </w:rPr>
        <w:t>Pravilnik</w:t>
      </w:r>
      <w:r w:rsidR="004C1B0C">
        <w:rPr>
          <w:rFonts w:asciiTheme="minorHAnsi" w:hAnsiTheme="minorHAnsi" w:cstheme="minorHAnsi"/>
          <w:b w:val="0"/>
          <w:bCs w:val="0"/>
          <w:color w:val="414145"/>
          <w:sz w:val="24"/>
          <w:szCs w:val="24"/>
        </w:rPr>
        <w:t>u</w:t>
      </w:r>
      <w:r w:rsidR="004C1B0C" w:rsidRPr="001F602C">
        <w:rPr>
          <w:rFonts w:asciiTheme="minorHAnsi" w:hAnsiTheme="minorHAnsi" w:cstheme="minorHAnsi"/>
          <w:b w:val="0"/>
          <w:bCs w:val="0"/>
          <w:color w:val="414145"/>
          <w:sz w:val="24"/>
          <w:szCs w:val="24"/>
        </w:rPr>
        <w:t xml:space="preserve"> o polugodišnjem i godišnjem izvještaju o izvršenju proračuna i financijskog plana </w:t>
      </w:r>
      <w:r w:rsidR="004C1B0C">
        <w:rPr>
          <w:rFonts w:asciiTheme="minorHAnsi" w:hAnsiTheme="minorHAnsi" w:cstheme="minorHAnsi"/>
          <w:b w:val="0"/>
          <w:bCs w:val="0"/>
          <w:color w:val="414145"/>
          <w:sz w:val="24"/>
          <w:szCs w:val="24"/>
        </w:rPr>
        <w:t xml:space="preserve">NN 85/23, </w:t>
      </w:r>
      <w:r w:rsidR="00004EC5" w:rsidRPr="001F602C">
        <w:rPr>
          <w:rFonts w:asciiTheme="minorHAnsi" w:hAnsiTheme="minorHAnsi" w:cstheme="minorHAnsi"/>
          <w:b w:val="0"/>
          <w:bCs w:val="0"/>
          <w:color w:val="414145"/>
          <w:sz w:val="24"/>
          <w:szCs w:val="24"/>
        </w:rPr>
        <w:t xml:space="preserve">koji nam </w:t>
      </w:r>
      <w:r w:rsidRPr="001F602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pokazuje jesu li sredstva utrošena sukladno donesenom financijskom planu </w:t>
      </w:r>
      <w:r w:rsidR="00004EC5" w:rsidRPr="001F602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</w:t>
      </w:r>
      <w:r w:rsidRPr="001F602C">
        <w:rPr>
          <w:rFonts w:asciiTheme="minorHAnsi" w:hAnsiTheme="minorHAnsi" w:cstheme="minorHAnsi"/>
          <w:b w:val="0"/>
          <w:bCs w:val="0"/>
          <w:sz w:val="24"/>
          <w:szCs w:val="24"/>
        </w:rPr>
        <w:t>proizlazi kako njegov sadržaj mora biti u skladu s podacima iskazanim u planu posebice jer su podaci iz izvještaja o izvršenju financijskih planova proračunskog korisnika dio izvještaja o izvršenju JLP(R)S.</w:t>
      </w:r>
      <w:r w:rsidR="00C6281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C6281B">
        <w:rPr>
          <w:rFonts w:cstheme="minorHAnsi"/>
          <w:b w:val="0"/>
          <w:sz w:val="24"/>
          <w:szCs w:val="24"/>
        </w:rPr>
        <w:t>Slijedom gore navedenog Izvještaj o izvršenju financijskog plana Osnovne škole dr.</w:t>
      </w:r>
      <w:r w:rsidR="005F0997">
        <w:rPr>
          <w:rFonts w:cstheme="minorHAnsi"/>
          <w:b w:val="0"/>
          <w:sz w:val="24"/>
          <w:szCs w:val="24"/>
        </w:rPr>
        <w:t xml:space="preserve"> </w:t>
      </w:r>
      <w:r w:rsidRPr="00C6281B">
        <w:rPr>
          <w:rFonts w:cstheme="minorHAnsi"/>
          <w:b w:val="0"/>
          <w:sz w:val="24"/>
          <w:szCs w:val="24"/>
        </w:rPr>
        <w:t>Jure Turića,</w:t>
      </w:r>
      <w:r w:rsidRPr="001F602C">
        <w:rPr>
          <w:rFonts w:cstheme="minorHAnsi"/>
          <w:sz w:val="24"/>
          <w:szCs w:val="24"/>
        </w:rPr>
        <w:t xml:space="preserve"> </w:t>
      </w:r>
    </w:p>
    <w:p w14:paraId="671DAFEF" w14:textId="77777777" w:rsidR="00061959" w:rsidRPr="001F602C" w:rsidRDefault="00061959" w:rsidP="00C6281B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sastoji se od: </w:t>
      </w:r>
    </w:p>
    <w:p w14:paraId="78F343CE" w14:textId="77777777" w:rsidR="00004EC5" w:rsidRPr="001F602C" w:rsidRDefault="00004EC5" w:rsidP="00C6281B">
      <w:pPr>
        <w:pStyle w:val="Bezprored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I. </w:t>
      </w:r>
      <w:r w:rsidR="00061959" w:rsidRPr="001F602C">
        <w:rPr>
          <w:rFonts w:cstheme="minorHAnsi"/>
          <w:sz w:val="24"/>
          <w:szCs w:val="24"/>
        </w:rPr>
        <w:t xml:space="preserve">Opći dio </w:t>
      </w:r>
      <w:r w:rsidRPr="001F602C">
        <w:rPr>
          <w:rFonts w:cstheme="minorHAnsi"/>
          <w:sz w:val="24"/>
          <w:szCs w:val="24"/>
        </w:rPr>
        <w:t>-Sažetak</w:t>
      </w:r>
    </w:p>
    <w:p w14:paraId="277D29D4" w14:textId="70CFD7D1" w:rsidR="00061959" w:rsidRPr="001F602C" w:rsidRDefault="00061959" w:rsidP="00C6281B">
      <w:pPr>
        <w:pStyle w:val="Bezproreda"/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>-Račun prihoda i rashoda</w:t>
      </w:r>
      <w:r w:rsidR="005F0997">
        <w:rPr>
          <w:rFonts w:cstheme="minorHAnsi"/>
          <w:sz w:val="24"/>
          <w:szCs w:val="24"/>
        </w:rPr>
        <w:t xml:space="preserve"> </w:t>
      </w:r>
      <w:r w:rsidR="0054525A" w:rsidRPr="001F602C">
        <w:rPr>
          <w:rFonts w:cstheme="minorHAnsi"/>
          <w:sz w:val="24"/>
          <w:szCs w:val="24"/>
        </w:rPr>
        <w:t>prema ekonomskoj klasifikaciji</w:t>
      </w:r>
    </w:p>
    <w:p w14:paraId="07BA6463" w14:textId="77777777" w:rsidR="00004EC5" w:rsidRPr="001F602C" w:rsidRDefault="00004EC5" w:rsidP="00C6281B">
      <w:pPr>
        <w:pStyle w:val="Bezproreda"/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                  -Rashodi i prihodi prema izvoru</w:t>
      </w:r>
    </w:p>
    <w:p w14:paraId="14A9F08D" w14:textId="77777777" w:rsidR="00004EC5" w:rsidRPr="001F602C" w:rsidRDefault="00004EC5" w:rsidP="00C6281B">
      <w:pPr>
        <w:pStyle w:val="Bezproreda"/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                  -Rashodi prema funkcijskoj klasifikaciji</w:t>
      </w:r>
    </w:p>
    <w:p w14:paraId="567E08BE" w14:textId="77777777" w:rsidR="00004EC5" w:rsidRPr="001F602C" w:rsidRDefault="00004EC5" w:rsidP="00C6281B">
      <w:pPr>
        <w:pStyle w:val="Bezproreda"/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                  -Račun financiranja </w:t>
      </w:r>
      <w:r w:rsidR="00A42360">
        <w:rPr>
          <w:rFonts w:cstheme="minorHAnsi"/>
          <w:sz w:val="24"/>
          <w:szCs w:val="24"/>
        </w:rPr>
        <w:t xml:space="preserve">prema ekonomskoj klasifikaciji </w:t>
      </w:r>
    </w:p>
    <w:p w14:paraId="3C2251B7" w14:textId="77777777" w:rsidR="00004EC5" w:rsidRPr="001F602C" w:rsidRDefault="00004EC5" w:rsidP="00C6281B">
      <w:pPr>
        <w:pStyle w:val="Bezproreda"/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                  -Račun financiranja prema izvoru</w:t>
      </w:r>
    </w:p>
    <w:p w14:paraId="0BA5BA84" w14:textId="77777777" w:rsidR="00061959" w:rsidRPr="001F602C" w:rsidRDefault="00004EC5" w:rsidP="00C6281B">
      <w:pPr>
        <w:pStyle w:val="Bezprored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II. </w:t>
      </w:r>
      <w:r w:rsidR="004E1DF4" w:rsidRPr="001F602C">
        <w:rPr>
          <w:rFonts w:cstheme="minorHAnsi"/>
          <w:sz w:val="24"/>
          <w:szCs w:val="24"/>
        </w:rPr>
        <w:t xml:space="preserve">Posebni dio </w:t>
      </w:r>
      <w:r w:rsidRPr="001F602C">
        <w:rPr>
          <w:rFonts w:cstheme="minorHAnsi"/>
          <w:sz w:val="24"/>
          <w:szCs w:val="24"/>
        </w:rPr>
        <w:t xml:space="preserve"> -Izvještaj</w:t>
      </w:r>
      <w:r w:rsidR="004E1DF4" w:rsidRPr="001F602C">
        <w:rPr>
          <w:rFonts w:cstheme="minorHAnsi"/>
          <w:sz w:val="24"/>
          <w:szCs w:val="24"/>
        </w:rPr>
        <w:t xml:space="preserve"> p</w:t>
      </w:r>
      <w:r w:rsidRPr="001F602C">
        <w:rPr>
          <w:rFonts w:cstheme="minorHAnsi"/>
          <w:sz w:val="24"/>
          <w:szCs w:val="24"/>
        </w:rPr>
        <w:t>o</w:t>
      </w:r>
      <w:r w:rsidR="004E1DF4" w:rsidRPr="001F602C">
        <w:rPr>
          <w:rFonts w:cstheme="minorHAnsi"/>
          <w:sz w:val="24"/>
          <w:szCs w:val="24"/>
        </w:rPr>
        <w:t xml:space="preserve"> programskoj klasifikaciji </w:t>
      </w:r>
    </w:p>
    <w:p w14:paraId="6FF1160B" w14:textId="77777777" w:rsidR="004C1B0C" w:rsidRPr="00C6281B" w:rsidRDefault="004E1DF4" w:rsidP="00C6281B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602C">
        <w:rPr>
          <w:rFonts w:asciiTheme="minorHAnsi" w:hAnsiTheme="minorHAnsi" w:cstheme="minorHAnsi"/>
          <w:bCs/>
          <w:sz w:val="24"/>
          <w:szCs w:val="24"/>
        </w:rPr>
        <w:t xml:space="preserve">Obrazloženje </w:t>
      </w:r>
    </w:p>
    <w:p w14:paraId="0EE797C3" w14:textId="77777777" w:rsidR="00B270CC" w:rsidRDefault="00B270CC" w:rsidP="00C628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602C">
        <w:rPr>
          <w:rFonts w:asciiTheme="minorHAnsi" w:hAnsiTheme="minorHAnsi" w:cstheme="minorHAnsi"/>
          <w:sz w:val="24"/>
          <w:szCs w:val="24"/>
        </w:rPr>
        <w:t>Obvezno je sastavljanje polugodišnjeg i godišnjeg izvještaja. Kako bi potvrdno odgovorili na pitanje br. 62. Upitnika o fiskalnoj odgovornosti. Izvještaj o izvršenju financijskog plana</w:t>
      </w:r>
      <w:r w:rsidR="003A0E08">
        <w:rPr>
          <w:rFonts w:asciiTheme="minorHAnsi" w:hAnsiTheme="minorHAnsi" w:cstheme="minorHAnsi"/>
          <w:sz w:val="24"/>
          <w:szCs w:val="24"/>
        </w:rPr>
        <w:t xml:space="preserve"> </w:t>
      </w:r>
      <w:r w:rsidR="00C526BF" w:rsidRPr="001F602C">
        <w:rPr>
          <w:rFonts w:asciiTheme="minorHAnsi" w:hAnsiTheme="minorHAnsi" w:cstheme="minorHAnsi"/>
          <w:sz w:val="24"/>
          <w:szCs w:val="24"/>
        </w:rPr>
        <w:t xml:space="preserve">usvaja </w:t>
      </w:r>
      <w:r w:rsidR="00AF4916" w:rsidRPr="001F602C">
        <w:rPr>
          <w:rFonts w:asciiTheme="minorHAnsi" w:hAnsiTheme="minorHAnsi" w:cstheme="minorHAnsi"/>
          <w:sz w:val="24"/>
          <w:szCs w:val="24"/>
        </w:rPr>
        <w:t xml:space="preserve"> Škols</w:t>
      </w:r>
      <w:r w:rsidR="00C526BF" w:rsidRPr="001F602C">
        <w:rPr>
          <w:rFonts w:asciiTheme="minorHAnsi" w:hAnsiTheme="minorHAnsi" w:cstheme="minorHAnsi"/>
          <w:sz w:val="24"/>
          <w:szCs w:val="24"/>
        </w:rPr>
        <w:t>ki</w:t>
      </w:r>
      <w:r w:rsidR="00AF4916" w:rsidRPr="001F602C">
        <w:rPr>
          <w:rFonts w:asciiTheme="minorHAnsi" w:hAnsiTheme="minorHAnsi" w:cstheme="minorHAnsi"/>
          <w:sz w:val="24"/>
          <w:szCs w:val="24"/>
        </w:rPr>
        <w:t xml:space="preserve"> odbor te </w:t>
      </w:r>
      <w:r w:rsidR="00C526BF" w:rsidRPr="001F602C">
        <w:rPr>
          <w:rFonts w:asciiTheme="minorHAnsi" w:hAnsiTheme="minorHAnsi" w:cstheme="minorHAnsi"/>
          <w:sz w:val="24"/>
          <w:szCs w:val="24"/>
        </w:rPr>
        <w:t xml:space="preserve">se </w:t>
      </w:r>
      <w:r w:rsidR="00AF4916" w:rsidRPr="001F602C">
        <w:rPr>
          <w:rFonts w:asciiTheme="minorHAnsi" w:hAnsiTheme="minorHAnsi" w:cstheme="minorHAnsi"/>
          <w:sz w:val="24"/>
          <w:szCs w:val="24"/>
        </w:rPr>
        <w:t xml:space="preserve">dostavlja osnivaču gradu Gospiću. </w:t>
      </w:r>
      <w:r w:rsidR="00277E47">
        <w:rPr>
          <w:rFonts w:asciiTheme="minorHAnsi" w:hAnsiTheme="minorHAnsi" w:cstheme="minorHAnsi"/>
          <w:sz w:val="24"/>
          <w:szCs w:val="24"/>
        </w:rPr>
        <w:t xml:space="preserve">Proračunski korisnici nemaju tekući plan jer nemaju mehanizam preraspodjele (čl. 60ZOP) te sukladno tome je izbačen stupac broj 3 iz tablice koje donosi Ministarstvo financija. </w:t>
      </w:r>
    </w:p>
    <w:p w14:paraId="65B5DFBD" w14:textId="77777777" w:rsidR="00CB5115" w:rsidRPr="001F602C" w:rsidRDefault="00CB5115" w:rsidP="001F60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5555F1" w14:textId="77777777" w:rsidR="00C84DF6" w:rsidRDefault="00C84DF6" w:rsidP="00C84DF6">
      <w:pPr>
        <w:pStyle w:val="Naslov1"/>
      </w:pPr>
    </w:p>
    <w:p w14:paraId="1DCEB0D5" w14:textId="77777777" w:rsidR="00C84DF6" w:rsidRDefault="00C84DF6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br w:type="page"/>
      </w:r>
    </w:p>
    <w:p w14:paraId="1D628A49" w14:textId="77777777" w:rsidR="00CB5115" w:rsidRPr="00E35835" w:rsidRDefault="00C84DF6" w:rsidP="00C84DF6">
      <w:pPr>
        <w:pStyle w:val="Naslov1"/>
        <w:rPr>
          <w:sz w:val="24"/>
          <w:szCs w:val="24"/>
        </w:rPr>
      </w:pPr>
      <w:bookmarkStart w:id="1" w:name="_Toc225494583"/>
      <w:r w:rsidRPr="00E35835">
        <w:rPr>
          <w:sz w:val="24"/>
          <w:szCs w:val="24"/>
        </w:rPr>
        <w:lastRenderedPageBreak/>
        <w:t xml:space="preserve">I. </w:t>
      </w:r>
      <w:r w:rsidR="00CB5115" w:rsidRPr="00E35835">
        <w:rPr>
          <w:sz w:val="24"/>
          <w:szCs w:val="24"/>
        </w:rPr>
        <w:t>OPĆI DIO</w:t>
      </w:r>
      <w:bookmarkEnd w:id="1"/>
      <w:r w:rsidR="00CB5115" w:rsidRPr="00E35835">
        <w:rPr>
          <w:sz w:val="24"/>
          <w:szCs w:val="24"/>
        </w:rPr>
        <w:t xml:space="preserve"> </w:t>
      </w:r>
    </w:p>
    <w:p w14:paraId="685FE11E" w14:textId="77777777" w:rsidR="00CB5115" w:rsidRPr="00E35835" w:rsidRDefault="00CB5115" w:rsidP="001F60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4C2A7E" w14:textId="77777777" w:rsidR="003C2408" w:rsidRPr="00E35835" w:rsidRDefault="003C2408" w:rsidP="00C84DF6">
      <w:pPr>
        <w:pStyle w:val="Naslov2"/>
        <w:rPr>
          <w:sz w:val="24"/>
          <w:szCs w:val="24"/>
        </w:rPr>
      </w:pPr>
      <w:bookmarkStart w:id="2" w:name="_Toc225494584"/>
      <w:r w:rsidRPr="00E35835">
        <w:rPr>
          <w:sz w:val="24"/>
          <w:szCs w:val="24"/>
        </w:rPr>
        <w:t>SAŽETAK RAČUNA PRIHODA I RASHODA</w:t>
      </w:r>
      <w:bookmarkEnd w:id="2"/>
      <w:r w:rsidRPr="00E35835">
        <w:rPr>
          <w:sz w:val="24"/>
          <w:szCs w:val="24"/>
        </w:rPr>
        <w:t xml:space="preserve"> </w:t>
      </w:r>
    </w:p>
    <w:p w14:paraId="22070183" w14:textId="77777777" w:rsidR="003C2408" w:rsidRDefault="003C2408" w:rsidP="001F60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1D1BAFC" w14:textId="77777777" w:rsidR="00E06D62" w:rsidRPr="00E06D62" w:rsidRDefault="00E06D62" w:rsidP="00E06D62">
      <w:pPr>
        <w:pStyle w:val="Opisslike"/>
        <w:keepNext/>
        <w:rPr>
          <w:color w:val="auto"/>
        </w:rPr>
      </w:pPr>
      <w:bookmarkStart w:id="3" w:name="_Toc225494517"/>
      <w:r w:rsidRPr="00E06D62">
        <w:rPr>
          <w:color w:val="auto"/>
        </w:rPr>
        <w:t xml:space="preserve">Tablica </w:t>
      </w:r>
      <w:r w:rsidRPr="00E06D62">
        <w:rPr>
          <w:color w:val="auto"/>
        </w:rPr>
        <w:fldChar w:fldCharType="begin"/>
      </w:r>
      <w:r w:rsidRPr="00E06D62">
        <w:rPr>
          <w:color w:val="auto"/>
        </w:rPr>
        <w:instrText xml:space="preserve"> SEQ Tablica \* ARABIC </w:instrText>
      </w:r>
      <w:r w:rsidRPr="00E06D62">
        <w:rPr>
          <w:color w:val="auto"/>
        </w:rPr>
        <w:fldChar w:fldCharType="separate"/>
      </w:r>
      <w:r w:rsidR="00C84DF6">
        <w:rPr>
          <w:noProof/>
          <w:color w:val="auto"/>
        </w:rPr>
        <w:t>1</w:t>
      </w:r>
      <w:r w:rsidRPr="00E06D62">
        <w:rPr>
          <w:color w:val="auto"/>
        </w:rPr>
        <w:fldChar w:fldCharType="end"/>
      </w:r>
      <w:r w:rsidRPr="00E06D62">
        <w:rPr>
          <w:color w:val="auto"/>
        </w:rPr>
        <w:t>: Sažetak računa prihoda i rashoda</w:t>
      </w:r>
      <w:bookmarkEnd w:id="3"/>
    </w:p>
    <w:tbl>
      <w:tblPr>
        <w:tblStyle w:val="Tablicapopisa4-isticanje11"/>
        <w:tblW w:w="979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072"/>
        <w:gridCol w:w="2414"/>
        <w:gridCol w:w="1517"/>
        <w:gridCol w:w="1517"/>
        <w:gridCol w:w="1365"/>
        <w:gridCol w:w="909"/>
      </w:tblGrid>
      <w:tr w:rsidR="00943102" w:rsidRPr="00312305" w14:paraId="4EC2AFEE" w14:textId="77777777" w:rsidTr="00C6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hideMark/>
          </w:tcPr>
          <w:p w14:paraId="65FF1875" w14:textId="77777777" w:rsidR="00943102" w:rsidRPr="00312305" w:rsidRDefault="00943102" w:rsidP="009277F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2414" w:type="dxa"/>
            <w:hideMark/>
          </w:tcPr>
          <w:p w14:paraId="065A2237" w14:textId="77777777" w:rsidR="00943102" w:rsidRPr="00312305" w:rsidRDefault="00943102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Pr="003F30E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517" w:type="dxa"/>
          </w:tcPr>
          <w:p w14:paraId="4ADF5D10" w14:textId="77777777" w:rsidR="00943102" w:rsidRPr="003F30EE" w:rsidRDefault="00132F3F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IZVORNI/ </w:t>
            </w:r>
            <w:r w:rsidR="00943102" w:rsidRPr="003F30E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517" w:type="dxa"/>
            <w:hideMark/>
          </w:tcPr>
          <w:p w14:paraId="76021AC8" w14:textId="77777777" w:rsidR="00943102" w:rsidRPr="00312305" w:rsidRDefault="00943102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Pr="003F30E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5" w:type="dxa"/>
            <w:hideMark/>
          </w:tcPr>
          <w:p w14:paraId="49CA610B" w14:textId="77777777" w:rsidR="00943102" w:rsidRPr="00312305" w:rsidRDefault="00943102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9" w:type="dxa"/>
            <w:hideMark/>
          </w:tcPr>
          <w:p w14:paraId="73F9BC88" w14:textId="77777777" w:rsidR="00943102" w:rsidRPr="00312305" w:rsidRDefault="00943102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INDEKS**</w:t>
            </w:r>
          </w:p>
        </w:tc>
      </w:tr>
      <w:tr w:rsidR="00943102" w:rsidRPr="00312305" w14:paraId="3A8B0021" w14:textId="77777777" w:rsidTr="00C6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hideMark/>
          </w:tcPr>
          <w:p w14:paraId="1DE4277D" w14:textId="77777777" w:rsidR="00943102" w:rsidRPr="00312305" w:rsidRDefault="00943102" w:rsidP="009277F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14" w:type="dxa"/>
            <w:hideMark/>
          </w:tcPr>
          <w:p w14:paraId="54CB9AB6" w14:textId="77777777" w:rsidR="00943102" w:rsidRPr="00312305" w:rsidRDefault="00943102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17" w:type="dxa"/>
          </w:tcPr>
          <w:p w14:paraId="21FB09B7" w14:textId="77777777" w:rsidR="00943102" w:rsidRPr="00312305" w:rsidRDefault="00943102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17" w:type="dxa"/>
            <w:hideMark/>
          </w:tcPr>
          <w:p w14:paraId="36B083E7" w14:textId="77777777" w:rsidR="00943102" w:rsidRPr="00312305" w:rsidRDefault="00943102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65" w:type="dxa"/>
            <w:hideMark/>
          </w:tcPr>
          <w:p w14:paraId="2CC10744" w14:textId="77777777" w:rsidR="00943102" w:rsidRPr="00312305" w:rsidRDefault="00943102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909" w:type="dxa"/>
            <w:hideMark/>
          </w:tcPr>
          <w:p w14:paraId="04408716" w14:textId="77777777" w:rsidR="00943102" w:rsidRPr="00312305" w:rsidRDefault="00943102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943102" w:rsidRPr="00312305" w14:paraId="4761F106" w14:textId="77777777" w:rsidTr="00C6281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shd w:val="clear" w:color="auto" w:fill="D9E2F3" w:themeFill="accent1" w:themeFillTint="33"/>
            <w:hideMark/>
          </w:tcPr>
          <w:p w14:paraId="0190C11E" w14:textId="77777777" w:rsidR="00943102" w:rsidRPr="00312305" w:rsidRDefault="00943102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2414" w:type="dxa"/>
            <w:shd w:val="clear" w:color="auto" w:fill="D9E2F3" w:themeFill="accent1" w:themeFillTint="33"/>
            <w:noWrap/>
            <w:hideMark/>
          </w:tcPr>
          <w:p w14:paraId="294D482F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3.641.438,00</w:t>
            </w:r>
          </w:p>
        </w:tc>
        <w:tc>
          <w:tcPr>
            <w:tcW w:w="1517" w:type="dxa"/>
            <w:shd w:val="clear" w:color="auto" w:fill="D9E2F3" w:themeFill="accent1" w:themeFillTint="33"/>
          </w:tcPr>
          <w:p w14:paraId="14D6F3F7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517" w:type="dxa"/>
            <w:shd w:val="clear" w:color="auto" w:fill="D9E2F3" w:themeFill="accent1" w:themeFillTint="33"/>
            <w:noWrap/>
            <w:hideMark/>
          </w:tcPr>
          <w:p w14:paraId="155A1540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3.822.727,73</w:t>
            </w:r>
          </w:p>
        </w:tc>
        <w:tc>
          <w:tcPr>
            <w:tcW w:w="1365" w:type="dxa"/>
            <w:shd w:val="clear" w:color="auto" w:fill="D9E2F3" w:themeFill="accent1" w:themeFillTint="33"/>
            <w:noWrap/>
            <w:hideMark/>
          </w:tcPr>
          <w:p w14:paraId="3BEDF129" w14:textId="77777777" w:rsidR="00943102" w:rsidRPr="00312305" w:rsidRDefault="00A06EAA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104,98</w:t>
            </w:r>
          </w:p>
        </w:tc>
        <w:tc>
          <w:tcPr>
            <w:tcW w:w="909" w:type="dxa"/>
            <w:shd w:val="clear" w:color="auto" w:fill="D9E2F3" w:themeFill="accent1" w:themeFillTint="33"/>
            <w:noWrap/>
            <w:hideMark/>
          </w:tcPr>
          <w:p w14:paraId="324976DE" w14:textId="77777777" w:rsidR="00943102" w:rsidRPr="00312305" w:rsidRDefault="00A06EAA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</w:t>
            </w:r>
          </w:p>
        </w:tc>
      </w:tr>
      <w:tr w:rsidR="00943102" w:rsidRPr="00312305" w14:paraId="59061D6C" w14:textId="77777777" w:rsidTr="00C6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shd w:val="clear" w:color="auto" w:fill="FFFFFF" w:themeFill="background1"/>
            <w:hideMark/>
          </w:tcPr>
          <w:p w14:paraId="13684CDF" w14:textId="77777777" w:rsidR="00943102" w:rsidRPr="00312305" w:rsidRDefault="00943102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2414" w:type="dxa"/>
            <w:shd w:val="clear" w:color="auto" w:fill="FFFFFF" w:themeFill="background1"/>
            <w:noWrap/>
            <w:hideMark/>
          </w:tcPr>
          <w:p w14:paraId="2359CAC0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3.641.438,00</w:t>
            </w:r>
          </w:p>
        </w:tc>
        <w:tc>
          <w:tcPr>
            <w:tcW w:w="1517" w:type="dxa"/>
            <w:shd w:val="clear" w:color="auto" w:fill="FFFFFF" w:themeFill="background1"/>
          </w:tcPr>
          <w:p w14:paraId="46C3E305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517" w:type="dxa"/>
            <w:shd w:val="clear" w:color="auto" w:fill="FFFFFF" w:themeFill="background1"/>
            <w:noWrap/>
            <w:hideMark/>
          </w:tcPr>
          <w:p w14:paraId="63E9044A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3.822.727,73</w:t>
            </w:r>
          </w:p>
        </w:tc>
        <w:tc>
          <w:tcPr>
            <w:tcW w:w="1365" w:type="dxa"/>
            <w:shd w:val="clear" w:color="auto" w:fill="FFFFFF" w:themeFill="background1"/>
            <w:noWrap/>
            <w:hideMark/>
          </w:tcPr>
          <w:p w14:paraId="7D56840A" w14:textId="77777777" w:rsidR="00943102" w:rsidRPr="00312305" w:rsidRDefault="00A06EAA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104,98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B1468D1" w14:textId="77777777" w:rsidR="00943102" w:rsidRPr="00312305" w:rsidRDefault="00A06EAA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</w:t>
            </w:r>
          </w:p>
        </w:tc>
      </w:tr>
      <w:tr w:rsidR="00943102" w:rsidRPr="00312305" w14:paraId="44C6F9E2" w14:textId="77777777" w:rsidTr="00C6281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14:paraId="5AA3B00B" w14:textId="77777777" w:rsidR="00943102" w:rsidRPr="00312305" w:rsidRDefault="00943102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2414" w:type="dxa"/>
            <w:noWrap/>
            <w:hideMark/>
          </w:tcPr>
          <w:p w14:paraId="54A580D8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7" w:type="dxa"/>
          </w:tcPr>
          <w:p w14:paraId="6C4CB90E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7" w:type="dxa"/>
            <w:noWrap/>
            <w:hideMark/>
          </w:tcPr>
          <w:p w14:paraId="56643F14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230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65" w:type="dxa"/>
            <w:noWrap/>
            <w:hideMark/>
          </w:tcPr>
          <w:p w14:paraId="5ED4B8CE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21C2AF2C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943102" w:rsidRPr="00312305" w14:paraId="4E5010F1" w14:textId="77777777" w:rsidTr="00C6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hideMark/>
          </w:tcPr>
          <w:p w14:paraId="206D3735" w14:textId="77777777" w:rsidR="00943102" w:rsidRPr="00312305" w:rsidRDefault="00943102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2414" w:type="dxa"/>
            <w:noWrap/>
            <w:hideMark/>
          </w:tcPr>
          <w:p w14:paraId="18EBB982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3.623.816,00</w:t>
            </w:r>
          </w:p>
        </w:tc>
        <w:tc>
          <w:tcPr>
            <w:tcW w:w="1517" w:type="dxa"/>
          </w:tcPr>
          <w:p w14:paraId="26386E1F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517" w:type="dxa"/>
            <w:noWrap/>
            <w:hideMark/>
          </w:tcPr>
          <w:p w14:paraId="5DE55016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4.138.151,25</w:t>
            </w:r>
          </w:p>
        </w:tc>
        <w:tc>
          <w:tcPr>
            <w:tcW w:w="1365" w:type="dxa"/>
            <w:noWrap/>
            <w:hideMark/>
          </w:tcPr>
          <w:p w14:paraId="413E3801" w14:textId="77777777" w:rsidR="00943102" w:rsidRPr="00312305" w:rsidRDefault="00A06EAA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114,19</w:t>
            </w:r>
          </w:p>
        </w:tc>
        <w:tc>
          <w:tcPr>
            <w:tcW w:w="909" w:type="dxa"/>
            <w:noWrap/>
            <w:hideMark/>
          </w:tcPr>
          <w:p w14:paraId="0AF75A4E" w14:textId="77777777" w:rsidR="00943102" w:rsidRPr="00312305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943102" w:rsidRPr="00312305" w14:paraId="26423F78" w14:textId="77777777" w:rsidTr="00C6281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hideMark/>
          </w:tcPr>
          <w:p w14:paraId="70A6C6A3" w14:textId="77777777" w:rsidR="00943102" w:rsidRPr="00312305" w:rsidRDefault="00943102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414" w:type="dxa"/>
            <w:noWrap/>
            <w:hideMark/>
          </w:tcPr>
          <w:p w14:paraId="491F5A4B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3.542.634,00</w:t>
            </w:r>
          </w:p>
        </w:tc>
        <w:tc>
          <w:tcPr>
            <w:tcW w:w="1517" w:type="dxa"/>
          </w:tcPr>
          <w:p w14:paraId="52D7CB7B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3.929.247,00</w:t>
            </w:r>
          </w:p>
        </w:tc>
        <w:tc>
          <w:tcPr>
            <w:tcW w:w="1517" w:type="dxa"/>
            <w:noWrap/>
            <w:hideMark/>
          </w:tcPr>
          <w:p w14:paraId="3BA61E87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3.998.912,98</w:t>
            </w:r>
          </w:p>
        </w:tc>
        <w:tc>
          <w:tcPr>
            <w:tcW w:w="1365" w:type="dxa"/>
            <w:noWrap/>
            <w:hideMark/>
          </w:tcPr>
          <w:p w14:paraId="6EEDE9A5" w14:textId="77777777" w:rsidR="00943102" w:rsidRPr="00312305" w:rsidRDefault="00A06EAA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909" w:type="dxa"/>
            <w:noWrap/>
            <w:hideMark/>
          </w:tcPr>
          <w:p w14:paraId="38295F85" w14:textId="77777777" w:rsidR="00943102" w:rsidRPr="00312305" w:rsidRDefault="00A06EAA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</w:t>
            </w:r>
          </w:p>
        </w:tc>
      </w:tr>
      <w:tr w:rsidR="00943102" w:rsidRPr="00312305" w14:paraId="31044FAF" w14:textId="77777777" w:rsidTr="00C6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shd w:val="clear" w:color="auto" w:fill="FFFFFF" w:themeFill="background1"/>
          </w:tcPr>
          <w:p w14:paraId="5689A360" w14:textId="77777777" w:rsidR="00943102" w:rsidRDefault="00943102" w:rsidP="009277F1">
            <w:pPr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 xml:space="preserve">4 RASHODI ZA NABAVU NEFINANCIJSKE IMOVINE </w:t>
            </w:r>
          </w:p>
        </w:tc>
        <w:tc>
          <w:tcPr>
            <w:tcW w:w="2414" w:type="dxa"/>
            <w:shd w:val="clear" w:color="auto" w:fill="FFFFFF" w:themeFill="background1"/>
            <w:noWrap/>
          </w:tcPr>
          <w:p w14:paraId="794D9055" w14:textId="77777777" w:rsidR="00943102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81.182,00</w:t>
            </w:r>
          </w:p>
        </w:tc>
        <w:tc>
          <w:tcPr>
            <w:tcW w:w="1517" w:type="dxa"/>
            <w:shd w:val="clear" w:color="auto" w:fill="FFFFFF" w:themeFill="background1"/>
          </w:tcPr>
          <w:p w14:paraId="2FA713C0" w14:textId="77777777" w:rsidR="00943102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192.912,00</w:t>
            </w:r>
          </w:p>
        </w:tc>
        <w:tc>
          <w:tcPr>
            <w:tcW w:w="1517" w:type="dxa"/>
            <w:shd w:val="clear" w:color="auto" w:fill="FFFFFF" w:themeFill="background1"/>
            <w:noWrap/>
          </w:tcPr>
          <w:p w14:paraId="37AD84CB" w14:textId="77777777" w:rsidR="00943102" w:rsidRDefault="00943102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139.238,27</w:t>
            </w:r>
          </w:p>
        </w:tc>
        <w:tc>
          <w:tcPr>
            <w:tcW w:w="1365" w:type="dxa"/>
            <w:shd w:val="clear" w:color="auto" w:fill="FFFFFF" w:themeFill="background1"/>
            <w:noWrap/>
          </w:tcPr>
          <w:p w14:paraId="16CC23A2" w14:textId="77777777" w:rsidR="00943102" w:rsidRDefault="00A06EAA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171,51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307FC70F" w14:textId="77777777" w:rsidR="00943102" w:rsidRDefault="00A06EAA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</w:tr>
      <w:tr w:rsidR="004C1B0C" w:rsidRPr="00312305" w14:paraId="17687BA0" w14:textId="77777777" w:rsidTr="00C6281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shd w:val="clear" w:color="auto" w:fill="D9E2F3" w:themeFill="accent1" w:themeFillTint="33"/>
            <w:noWrap/>
          </w:tcPr>
          <w:p w14:paraId="0D71C01F" w14:textId="77777777" w:rsidR="004C1B0C" w:rsidRDefault="004C1B0C" w:rsidP="009277F1">
            <w:pPr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>RAZLIKA – VIŠAK MANJAK</w:t>
            </w:r>
          </w:p>
        </w:tc>
        <w:tc>
          <w:tcPr>
            <w:tcW w:w="2414" w:type="dxa"/>
            <w:shd w:val="clear" w:color="auto" w:fill="D9E2F3" w:themeFill="accent1" w:themeFillTint="33"/>
            <w:noWrap/>
          </w:tcPr>
          <w:p w14:paraId="5FE42D0B" w14:textId="77777777" w:rsidR="004C1B0C" w:rsidRDefault="004C1B0C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17.622,00</w:t>
            </w:r>
          </w:p>
        </w:tc>
        <w:tc>
          <w:tcPr>
            <w:tcW w:w="1517" w:type="dxa"/>
            <w:shd w:val="clear" w:color="auto" w:fill="D9E2F3" w:themeFill="accent1" w:themeFillTint="33"/>
          </w:tcPr>
          <w:p w14:paraId="4FA0D949" w14:textId="77777777" w:rsidR="004C1B0C" w:rsidRDefault="004C1B0C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7" w:type="dxa"/>
            <w:shd w:val="clear" w:color="auto" w:fill="D9E2F3" w:themeFill="accent1" w:themeFillTint="33"/>
            <w:noWrap/>
          </w:tcPr>
          <w:p w14:paraId="68BC9AA3" w14:textId="77777777" w:rsidR="004C1B0C" w:rsidRDefault="004C1B0C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-315.423,52</w:t>
            </w:r>
          </w:p>
        </w:tc>
        <w:tc>
          <w:tcPr>
            <w:tcW w:w="1365" w:type="dxa"/>
            <w:shd w:val="clear" w:color="auto" w:fill="D9E2F3" w:themeFill="accent1" w:themeFillTint="33"/>
            <w:noWrap/>
          </w:tcPr>
          <w:p w14:paraId="2685463E" w14:textId="77777777" w:rsidR="004C1B0C" w:rsidRDefault="004C1B0C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9" w:type="dxa"/>
            <w:shd w:val="clear" w:color="auto" w:fill="D9E2F3" w:themeFill="accent1" w:themeFillTint="33"/>
            <w:noWrap/>
          </w:tcPr>
          <w:p w14:paraId="61E488FF" w14:textId="77777777" w:rsidR="004C1B0C" w:rsidRDefault="004C1B0C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C1B0C" w:rsidRPr="00312305" w14:paraId="77597CDC" w14:textId="77777777" w:rsidTr="00C6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</w:tcPr>
          <w:p w14:paraId="1E5B6C90" w14:textId="77777777" w:rsidR="004C1B0C" w:rsidRDefault="004C1B0C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>DONOS VIŠKA/MANJKA</w:t>
            </w:r>
          </w:p>
          <w:p w14:paraId="34609612" w14:textId="77777777" w:rsidR="004C1B0C" w:rsidRPr="004C1B0C" w:rsidRDefault="004C1B0C" w:rsidP="004C1B0C">
            <w:pPr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>IZ PRETHODNE GODINE</w:t>
            </w:r>
          </w:p>
        </w:tc>
        <w:tc>
          <w:tcPr>
            <w:tcW w:w="2414" w:type="dxa"/>
            <w:noWrap/>
          </w:tcPr>
          <w:p w14:paraId="786A0E7F" w14:textId="77777777" w:rsidR="004C1B0C" w:rsidRDefault="004C1B0C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-6834,42</w:t>
            </w:r>
          </w:p>
        </w:tc>
        <w:tc>
          <w:tcPr>
            <w:tcW w:w="1517" w:type="dxa"/>
          </w:tcPr>
          <w:p w14:paraId="17BB15CD" w14:textId="77777777" w:rsidR="004C1B0C" w:rsidRDefault="004C1B0C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7" w:type="dxa"/>
            <w:noWrap/>
          </w:tcPr>
          <w:p w14:paraId="7F401018" w14:textId="77777777" w:rsidR="004C1B0C" w:rsidRDefault="004C1B0C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11.139,50</w:t>
            </w:r>
          </w:p>
        </w:tc>
        <w:tc>
          <w:tcPr>
            <w:tcW w:w="1365" w:type="dxa"/>
            <w:noWrap/>
          </w:tcPr>
          <w:p w14:paraId="57B65284" w14:textId="77777777" w:rsidR="004C1B0C" w:rsidRDefault="004C1B0C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9" w:type="dxa"/>
            <w:noWrap/>
          </w:tcPr>
          <w:p w14:paraId="08887E14" w14:textId="77777777" w:rsidR="004C1B0C" w:rsidRDefault="004C1B0C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43102" w:rsidRPr="00312305" w14:paraId="764E20BE" w14:textId="77777777" w:rsidTr="00C6281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shd w:val="clear" w:color="auto" w:fill="D9E2F3" w:themeFill="accent1" w:themeFillTint="33"/>
            <w:noWrap/>
          </w:tcPr>
          <w:p w14:paraId="3F17FB95" w14:textId="77777777" w:rsidR="00943102" w:rsidRDefault="004C1B0C" w:rsidP="009277F1">
            <w:pPr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  <w:lang w:eastAsia="hr-HR"/>
              </w:rPr>
              <w:t>REZULTAT GODINE</w:t>
            </w:r>
          </w:p>
        </w:tc>
        <w:tc>
          <w:tcPr>
            <w:tcW w:w="2414" w:type="dxa"/>
            <w:shd w:val="clear" w:color="auto" w:fill="D9E2F3" w:themeFill="accent1" w:themeFillTint="33"/>
            <w:noWrap/>
          </w:tcPr>
          <w:p w14:paraId="161B601E" w14:textId="77777777" w:rsidR="00943102" w:rsidRPr="00312305" w:rsidRDefault="004C1B0C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11.139,50</w:t>
            </w:r>
          </w:p>
        </w:tc>
        <w:tc>
          <w:tcPr>
            <w:tcW w:w="1517" w:type="dxa"/>
            <w:shd w:val="clear" w:color="auto" w:fill="D9E2F3" w:themeFill="accent1" w:themeFillTint="33"/>
          </w:tcPr>
          <w:p w14:paraId="33432256" w14:textId="77777777" w:rsidR="00943102" w:rsidRPr="00312305" w:rsidRDefault="00A06EAA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17" w:type="dxa"/>
            <w:shd w:val="clear" w:color="auto" w:fill="D9E2F3" w:themeFill="accent1" w:themeFillTint="33"/>
            <w:noWrap/>
          </w:tcPr>
          <w:p w14:paraId="31890300" w14:textId="77777777" w:rsidR="00943102" w:rsidRPr="00312305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-3</w:t>
            </w:r>
            <w:r w:rsidR="004C1B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04.284,02</w:t>
            </w:r>
          </w:p>
        </w:tc>
        <w:tc>
          <w:tcPr>
            <w:tcW w:w="1365" w:type="dxa"/>
            <w:shd w:val="clear" w:color="auto" w:fill="D9E2F3" w:themeFill="accent1" w:themeFillTint="33"/>
            <w:noWrap/>
          </w:tcPr>
          <w:p w14:paraId="7044F4F5" w14:textId="77777777" w:rsidR="00943102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9" w:type="dxa"/>
            <w:shd w:val="clear" w:color="auto" w:fill="D9E2F3" w:themeFill="accent1" w:themeFillTint="33"/>
            <w:noWrap/>
          </w:tcPr>
          <w:p w14:paraId="207652AB" w14:textId="77777777" w:rsidR="00943102" w:rsidRDefault="00943102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2E4B02D3" w14:textId="77777777" w:rsidR="00601D06" w:rsidRPr="001F602C" w:rsidRDefault="00601D06" w:rsidP="001F60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B81E6A" w14:textId="77777777" w:rsidR="00CB5115" w:rsidRPr="001F602C" w:rsidRDefault="00CB5115" w:rsidP="00E06D62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>U tablici kako je navedeno, prikazani su ostvareni ukupni</w:t>
      </w:r>
      <w:r w:rsidR="003C2408" w:rsidRPr="001F602C">
        <w:rPr>
          <w:rFonts w:cstheme="minorHAnsi"/>
          <w:sz w:val="24"/>
          <w:szCs w:val="24"/>
        </w:rPr>
        <w:t xml:space="preserve"> prihodi i</w:t>
      </w:r>
      <w:r w:rsidRPr="001F602C">
        <w:rPr>
          <w:rFonts w:cstheme="minorHAnsi"/>
          <w:sz w:val="24"/>
          <w:szCs w:val="24"/>
        </w:rPr>
        <w:t xml:space="preserve"> rashodi  na dan </w:t>
      </w:r>
      <w:r w:rsidR="003C2408" w:rsidRPr="001F602C">
        <w:rPr>
          <w:rFonts w:cstheme="minorHAnsi"/>
          <w:sz w:val="24"/>
          <w:szCs w:val="24"/>
        </w:rPr>
        <w:t>31.12.202</w:t>
      </w:r>
      <w:r w:rsidR="006C5108">
        <w:rPr>
          <w:rFonts w:cstheme="minorHAnsi"/>
          <w:sz w:val="24"/>
          <w:szCs w:val="24"/>
        </w:rPr>
        <w:t>5</w:t>
      </w:r>
      <w:r w:rsidRPr="001F602C">
        <w:rPr>
          <w:rFonts w:cstheme="minorHAnsi"/>
          <w:sz w:val="24"/>
          <w:szCs w:val="24"/>
        </w:rPr>
        <w:t>. godine</w:t>
      </w:r>
      <w:r w:rsidR="003C2408" w:rsidRPr="001F602C">
        <w:rPr>
          <w:rFonts w:cstheme="minorHAnsi"/>
          <w:sz w:val="24"/>
          <w:szCs w:val="24"/>
        </w:rPr>
        <w:t>, prihodi</w:t>
      </w:r>
      <w:r w:rsidRPr="001F602C">
        <w:rPr>
          <w:rFonts w:cstheme="minorHAnsi"/>
          <w:sz w:val="24"/>
          <w:szCs w:val="24"/>
        </w:rPr>
        <w:t xml:space="preserve"> u iznosu </w:t>
      </w:r>
      <w:r w:rsidR="006C5108">
        <w:rPr>
          <w:rFonts w:cstheme="minorHAnsi"/>
          <w:sz w:val="24"/>
          <w:szCs w:val="24"/>
        </w:rPr>
        <w:t>3.822.727,73</w:t>
      </w:r>
      <w:r w:rsidR="00253E60" w:rsidRPr="001F602C">
        <w:rPr>
          <w:rFonts w:cstheme="minorHAnsi"/>
          <w:sz w:val="24"/>
          <w:szCs w:val="24"/>
        </w:rPr>
        <w:t>eura</w:t>
      </w:r>
      <w:r w:rsidR="00561442" w:rsidRPr="001F602C">
        <w:rPr>
          <w:rFonts w:cstheme="minorHAnsi"/>
          <w:sz w:val="24"/>
          <w:szCs w:val="24"/>
        </w:rPr>
        <w:t xml:space="preserve">, </w:t>
      </w:r>
      <w:r w:rsidRPr="001F602C">
        <w:rPr>
          <w:rFonts w:cstheme="minorHAnsi"/>
          <w:sz w:val="24"/>
          <w:szCs w:val="24"/>
        </w:rPr>
        <w:t>a ostvareni rashodi na dan 3</w:t>
      </w:r>
      <w:r w:rsidR="003C2408" w:rsidRPr="001F602C">
        <w:rPr>
          <w:rFonts w:cstheme="minorHAnsi"/>
          <w:sz w:val="24"/>
          <w:szCs w:val="24"/>
        </w:rPr>
        <w:t>1</w:t>
      </w:r>
      <w:r w:rsidRPr="001F602C">
        <w:rPr>
          <w:rFonts w:cstheme="minorHAnsi"/>
          <w:sz w:val="24"/>
          <w:szCs w:val="24"/>
        </w:rPr>
        <w:t>.</w:t>
      </w:r>
      <w:r w:rsidR="003C2408" w:rsidRPr="001F602C">
        <w:rPr>
          <w:rFonts w:cstheme="minorHAnsi"/>
          <w:sz w:val="24"/>
          <w:szCs w:val="24"/>
        </w:rPr>
        <w:t>12</w:t>
      </w:r>
      <w:r w:rsidRPr="001F602C">
        <w:rPr>
          <w:rFonts w:cstheme="minorHAnsi"/>
          <w:sz w:val="24"/>
          <w:szCs w:val="24"/>
        </w:rPr>
        <w:t>.202</w:t>
      </w:r>
      <w:r w:rsidR="006C5108">
        <w:rPr>
          <w:rFonts w:cstheme="minorHAnsi"/>
          <w:sz w:val="24"/>
          <w:szCs w:val="24"/>
        </w:rPr>
        <w:t>5</w:t>
      </w:r>
      <w:r w:rsidRPr="001F602C">
        <w:rPr>
          <w:rFonts w:cstheme="minorHAnsi"/>
          <w:sz w:val="24"/>
          <w:szCs w:val="24"/>
        </w:rPr>
        <w:t xml:space="preserve">.godine iznose </w:t>
      </w:r>
      <w:r w:rsidR="006C5108">
        <w:rPr>
          <w:rFonts w:cstheme="minorHAnsi"/>
          <w:sz w:val="24"/>
          <w:szCs w:val="24"/>
        </w:rPr>
        <w:t>4. 138. 151, 25</w:t>
      </w:r>
      <w:r w:rsidR="00253E60" w:rsidRPr="001F602C">
        <w:rPr>
          <w:rFonts w:cstheme="minorHAnsi"/>
          <w:sz w:val="24"/>
          <w:szCs w:val="24"/>
        </w:rPr>
        <w:t xml:space="preserve"> eura</w:t>
      </w:r>
      <w:r w:rsidR="00DF6663">
        <w:rPr>
          <w:rFonts w:cstheme="minorHAnsi"/>
          <w:sz w:val="24"/>
          <w:szCs w:val="24"/>
        </w:rPr>
        <w:t>.</w:t>
      </w:r>
    </w:p>
    <w:p w14:paraId="4873801B" w14:textId="77777777" w:rsidR="00CB5115" w:rsidRPr="00C348CC" w:rsidRDefault="00CB5115" w:rsidP="00E06D62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C348CC">
        <w:rPr>
          <w:rFonts w:cstheme="minorHAnsi"/>
          <w:sz w:val="24"/>
          <w:szCs w:val="24"/>
        </w:rPr>
        <w:t xml:space="preserve">Planirani rashodi </w:t>
      </w:r>
      <w:r w:rsidR="00A41123" w:rsidRPr="00C348CC">
        <w:rPr>
          <w:rFonts w:cstheme="minorHAnsi"/>
          <w:sz w:val="24"/>
          <w:szCs w:val="24"/>
        </w:rPr>
        <w:t>izvornog</w:t>
      </w:r>
      <w:r w:rsidR="003C2408" w:rsidRPr="00C348CC">
        <w:rPr>
          <w:rFonts w:cstheme="minorHAnsi"/>
          <w:sz w:val="24"/>
          <w:szCs w:val="24"/>
        </w:rPr>
        <w:t xml:space="preserve"> plana</w:t>
      </w:r>
      <w:r w:rsidR="00A41123" w:rsidRPr="00C348CC">
        <w:rPr>
          <w:rFonts w:cstheme="minorHAnsi"/>
          <w:sz w:val="24"/>
          <w:szCs w:val="24"/>
        </w:rPr>
        <w:t xml:space="preserve"> odnosno rebalansa</w:t>
      </w:r>
      <w:r w:rsidR="004C1B0C">
        <w:rPr>
          <w:rFonts w:cstheme="minorHAnsi"/>
          <w:sz w:val="24"/>
          <w:szCs w:val="24"/>
        </w:rPr>
        <w:t xml:space="preserve"> </w:t>
      </w:r>
      <w:r w:rsidRPr="00C348CC">
        <w:rPr>
          <w:rFonts w:cstheme="minorHAnsi"/>
          <w:sz w:val="24"/>
          <w:szCs w:val="24"/>
        </w:rPr>
        <w:t>za 202</w:t>
      </w:r>
      <w:r w:rsidR="00132F3F">
        <w:rPr>
          <w:rFonts w:cstheme="minorHAnsi"/>
          <w:sz w:val="24"/>
          <w:szCs w:val="24"/>
        </w:rPr>
        <w:t>5</w:t>
      </w:r>
      <w:r w:rsidRPr="00C348CC">
        <w:rPr>
          <w:rFonts w:cstheme="minorHAnsi"/>
          <w:sz w:val="24"/>
          <w:szCs w:val="24"/>
        </w:rPr>
        <w:t xml:space="preserve">. godinu iznose </w:t>
      </w:r>
      <w:r w:rsidR="00132F3F">
        <w:rPr>
          <w:rFonts w:cstheme="minorHAnsi"/>
          <w:sz w:val="24"/>
          <w:szCs w:val="24"/>
          <w:lang w:eastAsia="hr-HR"/>
        </w:rPr>
        <w:t>4.122.159,00</w:t>
      </w:r>
      <w:r w:rsidR="00253E60" w:rsidRPr="00C348CC">
        <w:rPr>
          <w:rFonts w:cstheme="minorHAnsi"/>
          <w:sz w:val="24"/>
          <w:szCs w:val="24"/>
        </w:rPr>
        <w:t xml:space="preserve"> eura</w:t>
      </w:r>
      <w:r w:rsidRPr="00C348CC">
        <w:rPr>
          <w:rFonts w:cstheme="minorHAnsi"/>
          <w:sz w:val="24"/>
          <w:szCs w:val="24"/>
        </w:rPr>
        <w:t xml:space="preserve"> a ostvareno je </w:t>
      </w:r>
      <w:r w:rsidR="004C1B0C">
        <w:rPr>
          <w:rFonts w:cstheme="minorHAnsi"/>
          <w:sz w:val="24"/>
          <w:szCs w:val="24"/>
        </w:rPr>
        <w:t>4.138.151,</w:t>
      </w:r>
      <w:r w:rsidR="00DF6663">
        <w:rPr>
          <w:rFonts w:cstheme="minorHAnsi"/>
          <w:sz w:val="24"/>
          <w:szCs w:val="24"/>
        </w:rPr>
        <w:t>25</w:t>
      </w:r>
      <w:r w:rsidR="004C1B0C">
        <w:rPr>
          <w:rFonts w:cstheme="minorHAnsi"/>
          <w:sz w:val="24"/>
          <w:szCs w:val="24"/>
        </w:rPr>
        <w:t xml:space="preserve"> </w:t>
      </w:r>
      <w:r w:rsidR="00253E60" w:rsidRPr="00C348CC">
        <w:rPr>
          <w:rFonts w:cstheme="minorHAnsi"/>
          <w:sz w:val="24"/>
          <w:szCs w:val="24"/>
        </w:rPr>
        <w:t>eura</w:t>
      </w:r>
      <w:r w:rsidR="004C1B0C">
        <w:rPr>
          <w:rFonts w:cstheme="minorHAnsi"/>
          <w:sz w:val="24"/>
          <w:szCs w:val="24"/>
        </w:rPr>
        <w:t xml:space="preserve"> </w:t>
      </w:r>
      <w:r w:rsidRPr="00C348CC">
        <w:rPr>
          <w:rFonts w:cstheme="minorHAnsi"/>
          <w:sz w:val="24"/>
          <w:szCs w:val="24"/>
        </w:rPr>
        <w:t xml:space="preserve">te </w:t>
      </w:r>
      <w:r w:rsidR="00634C52" w:rsidRPr="00C348CC">
        <w:rPr>
          <w:rFonts w:cstheme="minorHAnsi"/>
          <w:sz w:val="24"/>
          <w:szCs w:val="24"/>
        </w:rPr>
        <w:t xml:space="preserve">je iz </w:t>
      </w:r>
      <w:r w:rsidRPr="00C348CC">
        <w:rPr>
          <w:rFonts w:cstheme="minorHAnsi"/>
          <w:sz w:val="24"/>
          <w:szCs w:val="24"/>
        </w:rPr>
        <w:t xml:space="preserve">Izvještaja vidljivo da je </w:t>
      </w:r>
      <w:r w:rsidR="00C348CC" w:rsidRPr="00C348CC">
        <w:rPr>
          <w:rFonts w:cstheme="minorHAnsi"/>
          <w:sz w:val="24"/>
          <w:szCs w:val="24"/>
        </w:rPr>
        <w:t xml:space="preserve">ostvarenje </w:t>
      </w:r>
      <w:r w:rsidR="00DF6663">
        <w:rPr>
          <w:rFonts w:cstheme="minorHAnsi"/>
          <w:sz w:val="24"/>
          <w:szCs w:val="24"/>
        </w:rPr>
        <w:t>veće</w:t>
      </w:r>
      <w:r w:rsidR="00C348CC" w:rsidRPr="00C348CC">
        <w:rPr>
          <w:rFonts w:cstheme="minorHAnsi"/>
          <w:sz w:val="24"/>
          <w:szCs w:val="24"/>
        </w:rPr>
        <w:t xml:space="preserve"> od planiranog.</w:t>
      </w:r>
    </w:p>
    <w:p w14:paraId="12065D1C" w14:textId="77777777" w:rsidR="00CB5115" w:rsidRPr="001F602C" w:rsidRDefault="00CB5115" w:rsidP="00E06D6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2EB1B9" w14:textId="77777777" w:rsidR="00613778" w:rsidRDefault="00613778" w:rsidP="00E06D62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C348CC">
        <w:rPr>
          <w:rFonts w:cstheme="minorHAnsi"/>
          <w:sz w:val="24"/>
          <w:szCs w:val="24"/>
        </w:rPr>
        <w:t>Planirani prihodi za 202</w:t>
      </w:r>
      <w:r w:rsidR="005B4890">
        <w:rPr>
          <w:rFonts w:cstheme="minorHAnsi"/>
          <w:sz w:val="24"/>
          <w:szCs w:val="24"/>
        </w:rPr>
        <w:t>5</w:t>
      </w:r>
      <w:r w:rsidRPr="00C348CC">
        <w:rPr>
          <w:rFonts w:cstheme="minorHAnsi"/>
          <w:sz w:val="24"/>
          <w:szCs w:val="24"/>
        </w:rPr>
        <w:t xml:space="preserve">. godinu iznose </w:t>
      </w:r>
      <w:r w:rsidR="00696984">
        <w:rPr>
          <w:rFonts w:cstheme="minorHAnsi"/>
          <w:sz w:val="24"/>
          <w:szCs w:val="24"/>
          <w:lang w:eastAsia="hr-HR"/>
        </w:rPr>
        <w:t xml:space="preserve">4.122.159,00 </w:t>
      </w:r>
      <w:r w:rsidR="00253E60" w:rsidRPr="00C348CC">
        <w:rPr>
          <w:rFonts w:cstheme="minorHAnsi"/>
          <w:sz w:val="24"/>
          <w:szCs w:val="24"/>
          <w:lang w:eastAsia="hr-HR"/>
        </w:rPr>
        <w:t>eura</w:t>
      </w:r>
      <w:r w:rsidRPr="00C348CC">
        <w:rPr>
          <w:rFonts w:cstheme="minorHAnsi"/>
          <w:sz w:val="24"/>
          <w:szCs w:val="24"/>
        </w:rPr>
        <w:t xml:space="preserve"> a ostvareno je </w:t>
      </w:r>
      <w:r w:rsidR="0047403D" w:rsidRPr="00C348CC">
        <w:rPr>
          <w:rFonts w:cstheme="minorHAnsi"/>
          <w:sz w:val="24"/>
          <w:szCs w:val="24"/>
          <w:lang w:eastAsia="hr-HR"/>
        </w:rPr>
        <w:t>3.</w:t>
      </w:r>
      <w:r w:rsidR="004C1B0C">
        <w:rPr>
          <w:rFonts w:cstheme="minorHAnsi"/>
          <w:sz w:val="24"/>
          <w:szCs w:val="24"/>
          <w:lang w:eastAsia="hr-HR"/>
        </w:rPr>
        <w:t>822.727,</w:t>
      </w:r>
      <w:r w:rsidR="005B4890">
        <w:rPr>
          <w:rFonts w:cstheme="minorHAnsi"/>
          <w:sz w:val="24"/>
          <w:szCs w:val="24"/>
          <w:lang w:eastAsia="hr-HR"/>
        </w:rPr>
        <w:t xml:space="preserve">73 </w:t>
      </w:r>
      <w:r w:rsidR="00253E60" w:rsidRPr="00C348CC">
        <w:rPr>
          <w:rFonts w:cstheme="minorHAnsi"/>
          <w:sz w:val="24"/>
          <w:szCs w:val="24"/>
          <w:lang w:eastAsia="hr-HR"/>
        </w:rPr>
        <w:t xml:space="preserve"> eura</w:t>
      </w:r>
      <w:r w:rsidRPr="00C348CC">
        <w:rPr>
          <w:rFonts w:cstheme="minorHAnsi"/>
          <w:sz w:val="24"/>
          <w:szCs w:val="24"/>
        </w:rPr>
        <w:t xml:space="preserve"> te </w:t>
      </w:r>
      <w:r w:rsidR="00634C52" w:rsidRPr="00C348CC">
        <w:rPr>
          <w:rFonts w:cstheme="minorHAnsi"/>
          <w:sz w:val="24"/>
          <w:szCs w:val="24"/>
        </w:rPr>
        <w:t xml:space="preserve">je </w:t>
      </w:r>
      <w:r w:rsidRPr="00C348CC">
        <w:rPr>
          <w:rFonts w:cstheme="minorHAnsi"/>
          <w:sz w:val="24"/>
          <w:szCs w:val="24"/>
        </w:rPr>
        <w:t xml:space="preserve">iz Izvještaja vidljivo da je to ostvarenje </w:t>
      </w:r>
      <w:r w:rsidR="00696984">
        <w:rPr>
          <w:rFonts w:cstheme="minorHAnsi"/>
          <w:sz w:val="24"/>
          <w:szCs w:val="24"/>
        </w:rPr>
        <w:t>manje</w:t>
      </w:r>
      <w:r w:rsidR="00C348CC" w:rsidRPr="00C348CC">
        <w:rPr>
          <w:rFonts w:cstheme="minorHAnsi"/>
          <w:sz w:val="24"/>
          <w:szCs w:val="24"/>
        </w:rPr>
        <w:t xml:space="preserve"> od planiranog</w:t>
      </w:r>
      <w:r w:rsidR="000228F3">
        <w:rPr>
          <w:rFonts w:cstheme="minorHAnsi"/>
          <w:sz w:val="24"/>
          <w:szCs w:val="24"/>
        </w:rPr>
        <w:t>.</w:t>
      </w:r>
    </w:p>
    <w:p w14:paraId="2F64C2AD" w14:textId="77777777" w:rsidR="00307278" w:rsidRPr="001F602C" w:rsidRDefault="004C1B0C" w:rsidP="00E35835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Razlog većeg ostvarenja rashoda od planiranih su ukidanje kontinuiranih rashoda te knjiženje 13 mjeseci materijalnih rashoda. Ostvaren je manjak na kraju poslovne godine u iznosu od 315.423,52 koji je zapravo metodološki manjak i podmiren je sredstvima MZO i osnivača već u siječnju 2026. godine a odnosi se na rashode iz prosinca za plaću</w:t>
      </w:r>
      <w:r w:rsidR="009277F1">
        <w:rPr>
          <w:rFonts w:cstheme="minorHAnsi"/>
          <w:sz w:val="24"/>
          <w:szCs w:val="24"/>
        </w:rPr>
        <w:t xml:space="preserve"> te materijalne rashode koji se podmiruju sredstvima MZO i osnivača.</w:t>
      </w:r>
    </w:p>
    <w:p w14:paraId="478D30BA" w14:textId="77777777" w:rsidR="0054525A" w:rsidRPr="00E06D62" w:rsidRDefault="0054525A" w:rsidP="00C84DF6">
      <w:pPr>
        <w:pStyle w:val="Naslov2"/>
      </w:pPr>
      <w:bookmarkStart w:id="4" w:name="_Toc225494585"/>
      <w:r w:rsidRPr="00E06D62">
        <w:lastRenderedPageBreak/>
        <w:t>IZVJEŠTAJ O PRIHODIMA I RASHODIMA PREMA EKONOMSKOJ KLASIFIKACIJI</w:t>
      </w:r>
      <w:bookmarkEnd w:id="4"/>
      <w:r w:rsidRPr="00E06D62">
        <w:t xml:space="preserve"> </w:t>
      </w:r>
    </w:p>
    <w:p w14:paraId="0E932D29" w14:textId="77777777" w:rsidR="0054525A" w:rsidRPr="00CC3AF1" w:rsidRDefault="0054525A" w:rsidP="001F602C">
      <w:pPr>
        <w:pStyle w:val="Bezproreda"/>
        <w:spacing w:line="276" w:lineRule="auto"/>
        <w:rPr>
          <w:rFonts w:cstheme="minorHAnsi"/>
          <w:color w:val="FF0000"/>
          <w:sz w:val="24"/>
          <w:szCs w:val="24"/>
          <w:u w:val="single"/>
        </w:rPr>
      </w:pPr>
    </w:p>
    <w:p w14:paraId="3F382C5A" w14:textId="77777777" w:rsidR="00E06D62" w:rsidRDefault="00E06D62" w:rsidP="00E06D62">
      <w:pPr>
        <w:pStyle w:val="Opisslike"/>
        <w:keepNext/>
      </w:pPr>
      <w:bookmarkStart w:id="5" w:name="_Toc225494529"/>
      <w:r>
        <w:t xml:space="preserve">Grafikon </w:t>
      </w:r>
      <w:fldSimple w:instr=" SEQ Grafikon \* ARABIC ">
        <w:r>
          <w:rPr>
            <w:noProof/>
          </w:rPr>
          <w:t>1</w:t>
        </w:r>
      </w:fldSimple>
      <w:r>
        <w:t>:Prikaz prihoda prema ekonomskoj klasifikaciji za 2025. godinu</w:t>
      </w:r>
      <w:bookmarkEnd w:id="5"/>
    </w:p>
    <w:p w14:paraId="690A43D9" w14:textId="77777777" w:rsidR="00094687" w:rsidRPr="00CC3AF1" w:rsidRDefault="00094687" w:rsidP="001F602C">
      <w:pPr>
        <w:pStyle w:val="Bezproreda"/>
        <w:spacing w:line="276" w:lineRule="auto"/>
        <w:rPr>
          <w:rFonts w:cstheme="minorHAnsi"/>
          <w:color w:val="FF0000"/>
          <w:sz w:val="24"/>
          <w:szCs w:val="24"/>
        </w:rPr>
      </w:pPr>
      <w:r w:rsidRPr="00CC3AF1">
        <w:rPr>
          <w:rFonts w:cstheme="minorHAnsi"/>
          <w:noProof/>
          <w:color w:val="FF0000"/>
          <w:sz w:val="24"/>
          <w:szCs w:val="24"/>
          <w:lang w:eastAsia="hr-HR"/>
        </w:rPr>
        <w:drawing>
          <wp:inline distT="0" distB="0" distL="0" distR="0" wp14:anchorId="33569544" wp14:editId="1BA9222E">
            <wp:extent cx="5486400" cy="2771775"/>
            <wp:effectExtent l="0" t="0" r="0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D9BCCA" w14:textId="77777777" w:rsidR="00094687" w:rsidRPr="00CC3AF1" w:rsidRDefault="00094687" w:rsidP="001F602C">
      <w:pPr>
        <w:pStyle w:val="Bezproreda"/>
        <w:spacing w:line="276" w:lineRule="auto"/>
        <w:rPr>
          <w:rFonts w:cstheme="minorHAnsi"/>
          <w:color w:val="FF0000"/>
          <w:sz w:val="24"/>
          <w:szCs w:val="24"/>
        </w:rPr>
      </w:pPr>
    </w:p>
    <w:p w14:paraId="412C6CDF" w14:textId="77777777" w:rsidR="009D7D53" w:rsidRPr="0057674B" w:rsidRDefault="00094687" w:rsidP="00E06D6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7674B">
        <w:rPr>
          <w:rFonts w:asciiTheme="minorHAnsi" w:hAnsiTheme="minorHAnsi" w:cstheme="minorHAnsi"/>
          <w:sz w:val="24"/>
          <w:szCs w:val="24"/>
        </w:rPr>
        <w:t>Iz grafikon</w:t>
      </w:r>
      <w:r w:rsidR="009D7D53" w:rsidRPr="0057674B">
        <w:rPr>
          <w:rFonts w:asciiTheme="minorHAnsi" w:hAnsiTheme="minorHAnsi" w:cstheme="minorHAnsi"/>
          <w:sz w:val="24"/>
          <w:szCs w:val="24"/>
        </w:rPr>
        <w:t xml:space="preserve">a </w:t>
      </w:r>
      <w:r w:rsidR="0054525A" w:rsidRPr="0057674B">
        <w:rPr>
          <w:rFonts w:asciiTheme="minorHAnsi" w:hAnsiTheme="minorHAnsi" w:cstheme="minorHAnsi"/>
          <w:sz w:val="24"/>
          <w:szCs w:val="24"/>
        </w:rPr>
        <w:t xml:space="preserve">1. </w:t>
      </w:r>
      <w:r w:rsidR="009D7D53" w:rsidRPr="0057674B">
        <w:rPr>
          <w:rFonts w:asciiTheme="minorHAnsi" w:hAnsiTheme="minorHAnsi" w:cstheme="minorHAnsi"/>
          <w:sz w:val="24"/>
          <w:szCs w:val="24"/>
        </w:rPr>
        <w:t xml:space="preserve">možemo zaključiti da najviše ostvarenih prihoda je iz ekonomske klasifikacije 63 odnosno </w:t>
      </w:r>
      <w:r w:rsidR="009D7D53" w:rsidRPr="00E06D62">
        <w:rPr>
          <w:rFonts w:asciiTheme="minorHAnsi" w:hAnsiTheme="minorHAnsi" w:cstheme="minorHAnsi"/>
          <w:bCs/>
          <w:sz w:val="24"/>
          <w:szCs w:val="24"/>
          <w:lang w:eastAsia="hr-HR"/>
        </w:rPr>
        <w:t>Pomoći iz inozemstva i od subjekata unutar općeg proračuna</w:t>
      </w:r>
      <w:r w:rsidR="009D7D53" w:rsidRPr="0057674B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 </w:t>
      </w:r>
      <w:r w:rsidR="009D7D53" w:rsidRPr="0057674B">
        <w:rPr>
          <w:rFonts w:asciiTheme="minorHAnsi" w:hAnsiTheme="minorHAnsi" w:cstheme="minorHAnsi"/>
          <w:sz w:val="24"/>
          <w:szCs w:val="24"/>
          <w:lang w:eastAsia="hr-HR"/>
        </w:rPr>
        <w:t>te je vidljivo</w:t>
      </w:r>
      <w:r w:rsidR="009277F1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E06D62">
        <w:rPr>
          <w:rFonts w:asciiTheme="minorHAnsi" w:hAnsiTheme="minorHAnsi" w:cstheme="minorHAnsi"/>
          <w:sz w:val="24"/>
          <w:szCs w:val="24"/>
          <w:lang w:eastAsia="hr-HR"/>
        </w:rPr>
        <w:t>povećanje ostvarenja</w:t>
      </w:r>
      <w:r w:rsidR="009D7D53" w:rsidRPr="0057674B">
        <w:rPr>
          <w:rFonts w:asciiTheme="minorHAnsi" w:hAnsiTheme="minorHAnsi" w:cstheme="minorHAnsi"/>
          <w:sz w:val="24"/>
          <w:szCs w:val="24"/>
          <w:lang w:eastAsia="hr-HR"/>
        </w:rPr>
        <w:t xml:space="preserve"> u 202</w:t>
      </w:r>
      <w:r w:rsidR="0057674B">
        <w:rPr>
          <w:rFonts w:asciiTheme="minorHAnsi" w:hAnsiTheme="minorHAnsi" w:cstheme="minorHAnsi"/>
          <w:sz w:val="24"/>
          <w:szCs w:val="24"/>
          <w:lang w:eastAsia="hr-HR"/>
        </w:rPr>
        <w:t>5</w:t>
      </w:r>
      <w:r w:rsidR="009D7D53" w:rsidRPr="0057674B">
        <w:rPr>
          <w:rFonts w:asciiTheme="minorHAnsi" w:hAnsiTheme="minorHAnsi" w:cstheme="minorHAnsi"/>
          <w:sz w:val="24"/>
          <w:szCs w:val="24"/>
          <w:lang w:eastAsia="hr-HR"/>
        </w:rPr>
        <w:t>.</w:t>
      </w:r>
      <w:r w:rsidR="009277F1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9D7D53" w:rsidRPr="0057674B">
        <w:rPr>
          <w:rFonts w:asciiTheme="minorHAnsi" w:hAnsiTheme="minorHAnsi" w:cstheme="minorHAnsi"/>
          <w:sz w:val="24"/>
          <w:szCs w:val="24"/>
          <w:lang w:eastAsia="hr-HR"/>
        </w:rPr>
        <w:t>godinu u odnosu na isto razdoblje 202</w:t>
      </w:r>
      <w:r w:rsidR="0057674B">
        <w:rPr>
          <w:rFonts w:asciiTheme="minorHAnsi" w:hAnsiTheme="minorHAnsi" w:cstheme="minorHAnsi"/>
          <w:sz w:val="24"/>
          <w:szCs w:val="24"/>
          <w:lang w:eastAsia="hr-HR"/>
        </w:rPr>
        <w:t>4</w:t>
      </w:r>
      <w:r w:rsidR="009D7D53" w:rsidRPr="0057674B">
        <w:rPr>
          <w:rFonts w:asciiTheme="minorHAnsi" w:hAnsiTheme="minorHAnsi" w:cstheme="minorHAnsi"/>
          <w:sz w:val="24"/>
          <w:szCs w:val="24"/>
          <w:lang w:eastAsia="hr-HR"/>
        </w:rPr>
        <w:t>.godine</w:t>
      </w:r>
      <w:r w:rsidR="009277F1">
        <w:rPr>
          <w:rFonts w:asciiTheme="minorHAnsi" w:hAnsiTheme="minorHAnsi" w:cstheme="minorHAnsi"/>
          <w:sz w:val="24"/>
          <w:szCs w:val="24"/>
          <w:lang w:eastAsia="hr-HR"/>
        </w:rPr>
        <w:t xml:space="preserve"> zbog povećanja mase plaća odnosno rasta osnovice državnih i javnih službenika.</w:t>
      </w:r>
    </w:p>
    <w:p w14:paraId="60597888" w14:textId="77777777" w:rsidR="00061C34" w:rsidRPr="0057674B" w:rsidRDefault="00061C34" w:rsidP="00E06D62">
      <w:pPr>
        <w:spacing w:line="360" w:lineRule="auto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6371EB38" w14:textId="77777777" w:rsidR="0054525A" w:rsidRPr="001F602C" w:rsidRDefault="0054525A" w:rsidP="001F602C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2459C02D" w14:textId="77777777" w:rsidR="00061C34" w:rsidRPr="001F602C" w:rsidRDefault="00061C34" w:rsidP="001F602C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222E495A" w14:textId="77777777" w:rsidR="00E06D62" w:rsidRDefault="00E06D62" w:rsidP="00E06D62">
      <w:pPr>
        <w:pStyle w:val="Opisslike"/>
        <w:keepNext/>
      </w:pPr>
      <w:bookmarkStart w:id="6" w:name="_Toc225494530"/>
      <w:r>
        <w:lastRenderedPageBreak/>
        <w:t xml:space="preserve">Grafikon </w:t>
      </w:r>
      <w:fldSimple w:instr=" SEQ Grafikon \* ARABIC ">
        <w:r>
          <w:rPr>
            <w:noProof/>
          </w:rPr>
          <w:t>2</w:t>
        </w:r>
      </w:fldSimple>
      <w:r>
        <w:t>:Rashodi prema ekonomskoj klasifikaciji</w:t>
      </w:r>
      <w:bookmarkEnd w:id="6"/>
    </w:p>
    <w:p w14:paraId="64C0D4B7" w14:textId="77777777" w:rsidR="00061C34" w:rsidRPr="00CC3AF1" w:rsidRDefault="00061C34" w:rsidP="001F602C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lang w:eastAsia="hr-HR"/>
        </w:rPr>
      </w:pPr>
      <w:r w:rsidRPr="00CC3AF1">
        <w:rPr>
          <w:rFonts w:asciiTheme="minorHAnsi" w:hAnsiTheme="minorHAnsi" w:cstheme="minorHAnsi"/>
          <w:noProof/>
          <w:color w:val="FF0000"/>
          <w:sz w:val="24"/>
          <w:szCs w:val="24"/>
          <w:lang w:eastAsia="hr-HR"/>
        </w:rPr>
        <w:drawing>
          <wp:inline distT="0" distB="0" distL="0" distR="0" wp14:anchorId="4290F555" wp14:editId="4E20A7AD">
            <wp:extent cx="6039230" cy="6776815"/>
            <wp:effectExtent l="19050" t="0" r="18670" b="498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AD5436" w14:textId="77777777" w:rsidR="0054525A" w:rsidRPr="00CC3AF1" w:rsidRDefault="0054525A" w:rsidP="001F602C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lang w:eastAsia="hr-HR"/>
        </w:rPr>
      </w:pPr>
    </w:p>
    <w:p w14:paraId="18846C65" w14:textId="77777777" w:rsidR="00234D6E" w:rsidRPr="00CC2519" w:rsidRDefault="00234D6E" w:rsidP="001F602C">
      <w:pPr>
        <w:spacing w:line="276" w:lineRule="auto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2B3F0AD3" w14:textId="77777777" w:rsidR="0038725A" w:rsidRPr="00E06D62" w:rsidRDefault="00234D6E" w:rsidP="00E06D6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CC2519">
        <w:rPr>
          <w:rFonts w:asciiTheme="minorHAnsi" w:hAnsiTheme="minorHAnsi" w:cstheme="minorHAnsi"/>
          <w:sz w:val="24"/>
          <w:szCs w:val="24"/>
          <w:lang w:eastAsia="hr-HR"/>
        </w:rPr>
        <w:t>Iz grafikon</w:t>
      </w:r>
      <w:r w:rsidR="0054525A" w:rsidRPr="00CC2519">
        <w:rPr>
          <w:rFonts w:asciiTheme="minorHAnsi" w:hAnsiTheme="minorHAnsi" w:cstheme="minorHAnsi"/>
          <w:sz w:val="24"/>
          <w:szCs w:val="24"/>
          <w:lang w:eastAsia="hr-HR"/>
        </w:rPr>
        <w:t>a 2.</w:t>
      </w:r>
      <w:r w:rsidRPr="00CC2519">
        <w:rPr>
          <w:rFonts w:asciiTheme="minorHAnsi" w:hAnsiTheme="minorHAnsi" w:cstheme="minorHAnsi"/>
          <w:sz w:val="24"/>
          <w:szCs w:val="24"/>
          <w:lang w:eastAsia="hr-HR"/>
        </w:rPr>
        <w:t xml:space="preserve"> je vidljivo najviše rashoda ostvareno iz razreda 31 računskog plana odnosno </w:t>
      </w:r>
      <w:r w:rsidRPr="00CC2519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Rashodi za zaposlene </w:t>
      </w:r>
      <w:r w:rsidRPr="00CC2519">
        <w:rPr>
          <w:rFonts w:asciiTheme="minorHAnsi" w:hAnsiTheme="minorHAnsi" w:cstheme="minorHAnsi"/>
          <w:sz w:val="24"/>
          <w:szCs w:val="24"/>
          <w:lang w:eastAsia="hr-HR"/>
        </w:rPr>
        <w:t>odnosno trošak plaće za zaposlenike Osnovne škole dr. Jure Turića</w:t>
      </w:r>
      <w:r w:rsidR="009277F1">
        <w:rPr>
          <w:rFonts w:asciiTheme="minorHAnsi" w:hAnsiTheme="minorHAnsi" w:cstheme="minorHAnsi"/>
          <w:sz w:val="24"/>
          <w:szCs w:val="24"/>
          <w:lang w:eastAsia="hr-HR"/>
        </w:rPr>
        <w:t>, što prati trend povećanja prihoda skupine 63, također povećani su rashodi skupine 37 zbog povećanja cijene prijevoza učenika koje financira osnivač</w:t>
      </w:r>
      <w:r w:rsidRPr="00CC2519">
        <w:rPr>
          <w:rFonts w:asciiTheme="minorHAnsi" w:hAnsiTheme="minorHAnsi" w:cstheme="minorHAnsi"/>
          <w:sz w:val="24"/>
          <w:szCs w:val="24"/>
          <w:lang w:eastAsia="hr-HR"/>
        </w:rPr>
        <w:t xml:space="preserve">. </w:t>
      </w:r>
    </w:p>
    <w:p w14:paraId="2C8F19F8" w14:textId="77777777" w:rsidR="0054525A" w:rsidRPr="001F602C" w:rsidRDefault="0054525A" w:rsidP="001F602C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E4065B" w14:textId="77777777" w:rsidR="0054525A" w:rsidRPr="00E06D62" w:rsidRDefault="0054525A" w:rsidP="00C84DF6">
      <w:pPr>
        <w:pStyle w:val="Naslov2"/>
        <w:rPr>
          <w:lang w:eastAsia="hr-HR"/>
        </w:rPr>
      </w:pPr>
      <w:bookmarkStart w:id="7" w:name="_Toc225494586"/>
      <w:r w:rsidRPr="00E06D62">
        <w:rPr>
          <w:lang w:eastAsia="hr-HR"/>
        </w:rPr>
        <w:lastRenderedPageBreak/>
        <w:t>IZVJEŠTAJ O PRIHODIMA I RASHODIMA PREMA IZVORIMA FINANCIRANJA</w:t>
      </w:r>
      <w:bookmarkEnd w:id="7"/>
      <w:r w:rsidR="00E06D62" w:rsidRPr="00E06D62">
        <w:rPr>
          <w:lang w:eastAsia="hr-HR"/>
        </w:rPr>
        <w:tab/>
      </w:r>
    </w:p>
    <w:p w14:paraId="2ED47A92" w14:textId="77777777" w:rsidR="0054525A" w:rsidRPr="001F602C" w:rsidRDefault="0054525A" w:rsidP="001F602C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286EFEA5" w14:textId="77777777" w:rsidR="00E06D62" w:rsidRDefault="00E06D62" w:rsidP="00E06D62">
      <w:pPr>
        <w:pStyle w:val="Opisslike"/>
        <w:keepNext/>
      </w:pPr>
      <w:bookmarkStart w:id="8" w:name="_Toc225494531"/>
      <w:r>
        <w:t xml:space="preserve">Grafikon </w:t>
      </w:r>
      <w:fldSimple w:instr=" SEQ Grafikon \* ARABIC ">
        <w:r>
          <w:rPr>
            <w:noProof/>
          </w:rPr>
          <w:t>3</w:t>
        </w:r>
      </w:fldSimple>
      <w:r>
        <w:t>: Prihodi po izvorima</w:t>
      </w:r>
      <w:bookmarkEnd w:id="8"/>
    </w:p>
    <w:p w14:paraId="452BBDFB" w14:textId="77777777" w:rsidR="00094687" w:rsidRPr="001F602C" w:rsidRDefault="002A2865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  <w:r w:rsidRPr="001F602C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5CD83F8" wp14:editId="484C9F0E">
            <wp:extent cx="5954461" cy="3555051"/>
            <wp:effectExtent l="19050" t="0" r="27239" b="7299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242F4F" w14:textId="77777777" w:rsidR="00AE1488" w:rsidRPr="001F602C" w:rsidRDefault="00AE1488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1937BD79" w14:textId="77777777" w:rsidR="009E1D52" w:rsidRPr="009E1D52" w:rsidRDefault="009E1D52" w:rsidP="00E06D62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9E1D52">
        <w:rPr>
          <w:rFonts w:asciiTheme="minorHAnsi" w:hAnsiTheme="minorHAnsi" w:cstheme="minorHAnsi"/>
        </w:rPr>
        <w:t xml:space="preserve">U godišnjem izvještaju o izvršenju financijskog plana za 2025. godinu najveći dio prihoda ostvaren je iz Izvora 5. </w:t>
      </w:r>
    </w:p>
    <w:p w14:paraId="0A6C8149" w14:textId="77777777" w:rsidR="009E1D52" w:rsidRPr="009E1D52" w:rsidRDefault="009E1D52" w:rsidP="00E06D62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9E1D52">
        <w:rPr>
          <w:rFonts w:asciiTheme="minorHAnsi" w:hAnsiTheme="minorHAnsi" w:cstheme="minorHAnsi"/>
        </w:rPr>
        <w:t>Vidljivo je odstupanje kod Izvora 5 i Izvora 4 (manje ostvarenje u odnosu na plan), dok su prihodi iz Izvora 1 ostvareni u većem iznosu od planiranog.</w:t>
      </w:r>
      <w:r w:rsidR="009277F1">
        <w:rPr>
          <w:rFonts w:asciiTheme="minorHAnsi" w:hAnsiTheme="minorHAnsi" w:cstheme="minorHAnsi"/>
        </w:rPr>
        <w:t xml:space="preserve"> Radi se o prijenosu prihoda za plaće 12/25 koji su preneseni u 1/26.</w:t>
      </w:r>
      <w:r w:rsidRPr="009E1D52">
        <w:rPr>
          <w:rFonts w:asciiTheme="minorHAnsi" w:hAnsiTheme="minorHAnsi" w:cstheme="minorHAnsi"/>
        </w:rPr>
        <w:t xml:space="preserve"> Prihodi iz Izvora 3 ostvareni su približno u skladu s planom.</w:t>
      </w:r>
    </w:p>
    <w:p w14:paraId="7FA87514" w14:textId="77777777" w:rsidR="009E1D52" w:rsidRDefault="009E1D52" w:rsidP="008703F8">
      <w:pPr>
        <w:pStyle w:val="StandardWeb"/>
        <w:jc w:val="both"/>
        <w:rPr>
          <w:rFonts w:asciiTheme="minorHAnsi" w:hAnsiTheme="minorHAnsi" w:cstheme="minorHAnsi"/>
        </w:rPr>
      </w:pPr>
    </w:p>
    <w:p w14:paraId="7CA07CDE" w14:textId="77777777" w:rsidR="009E1D52" w:rsidRPr="008703F8" w:rsidRDefault="009E1D52" w:rsidP="008703F8">
      <w:pPr>
        <w:pStyle w:val="StandardWeb"/>
        <w:jc w:val="both"/>
        <w:rPr>
          <w:rFonts w:asciiTheme="minorHAnsi" w:hAnsiTheme="minorHAnsi" w:cstheme="minorHAnsi"/>
        </w:rPr>
      </w:pPr>
    </w:p>
    <w:p w14:paraId="33E3538D" w14:textId="77777777" w:rsidR="008703F8" w:rsidRPr="0071354E" w:rsidRDefault="008703F8" w:rsidP="008703F8">
      <w:pPr>
        <w:pStyle w:val="StandardWeb"/>
        <w:jc w:val="both"/>
        <w:rPr>
          <w:rFonts w:asciiTheme="minorHAnsi" w:hAnsiTheme="minorHAnsi" w:cstheme="minorHAnsi"/>
          <w:color w:val="FF0000"/>
        </w:rPr>
      </w:pPr>
    </w:p>
    <w:p w14:paraId="3309084A" w14:textId="77777777" w:rsidR="008703F8" w:rsidRDefault="008703F8" w:rsidP="00CC3AF1">
      <w:pPr>
        <w:pStyle w:val="Bezproreda"/>
        <w:spacing w:line="276" w:lineRule="auto"/>
        <w:jc w:val="both"/>
        <w:rPr>
          <w:rFonts w:cstheme="minorHAnsi"/>
          <w:sz w:val="24"/>
          <w:szCs w:val="24"/>
        </w:rPr>
      </w:pPr>
    </w:p>
    <w:p w14:paraId="7C8FBDF8" w14:textId="77777777" w:rsidR="00DE1D69" w:rsidRPr="001F602C" w:rsidRDefault="00DE1D69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3177D10D" w14:textId="77777777" w:rsidR="00E06D62" w:rsidRDefault="00E06D62" w:rsidP="00E06D62">
      <w:pPr>
        <w:pStyle w:val="Opisslike"/>
        <w:keepNext/>
      </w:pPr>
      <w:bookmarkStart w:id="9" w:name="_Toc225494532"/>
      <w:r>
        <w:lastRenderedPageBreak/>
        <w:t xml:space="preserve">Grafikon </w:t>
      </w:r>
      <w:fldSimple w:instr=" SEQ Grafikon \* ARABIC ">
        <w:r>
          <w:rPr>
            <w:noProof/>
          </w:rPr>
          <w:t>4</w:t>
        </w:r>
      </w:fldSimple>
      <w:r>
        <w:t>: Rashodi po izvorima</w:t>
      </w:r>
      <w:bookmarkEnd w:id="9"/>
    </w:p>
    <w:p w14:paraId="5C9BA03C" w14:textId="77777777" w:rsidR="00F06805" w:rsidRPr="001F602C" w:rsidRDefault="00F06805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  <w:r w:rsidRPr="001F602C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3E7EAD62" wp14:editId="1CCE6584">
            <wp:extent cx="5486400" cy="2390775"/>
            <wp:effectExtent l="19050" t="0" r="1905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5F06B2" w14:textId="77777777" w:rsidR="009A4F9B" w:rsidRDefault="009A4F9B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2D90BFE5" w14:textId="77777777" w:rsidR="00BA00BC" w:rsidRDefault="001F698B" w:rsidP="00ED69E6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 xml:space="preserve">U </w:t>
      </w:r>
      <w:r w:rsidR="00F80E79">
        <w:rPr>
          <w:rFonts w:cstheme="minorHAnsi"/>
          <w:sz w:val="24"/>
          <w:szCs w:val="24"/>
        </w:rPr>
        <w:t>I</w:t>
      </w:r>
      <w:r w:rsidR="00FB09CE" w:rsidRPr="001F602C">
        <w:rPr>
          <w:rFonts w:cstheme="minorHAnsi"/>
          <w:sz w:val="24"/>
          <w:szCs w:val="24"/>
        </w:rPr>
        <w:t xml:space="preserve">zvještaju o </w:t>
      </w:r>
      <w:r w:rsidRPr="001F602C">
        <w:rPr>
          <w:rFonts w:cstheme="minorHAnsi"/>
          <w:sz w:val="24"/>
          <w:szCs w:val="24"/>
        </w:rPr>
        <w:t xml:space="preserve">izvršenju financijskog plana, </w:t>
      </w:r>
      <w:r w:rsidR="00ED69E6">
        <w:rPr>
          <w:rFonts w:cstheme="minorHAnsi"/>
          <w:sz w:val="24"/>
          <w:szCs w:val="24"/>
        </w:rPr>
        <w:t xml:space="preserve">isto </w:t>
      </w:r>
      <w:r w:rsidRPr="001F602C">
        <w:rPr>
          <w:rFonts w:cstheme="minorHAnsi"/>
          <w:sz w:val="24"/>
          <w:szCs w:val="24"/>
        </w:rPr>
        <w:t>kao i</w:t>
      </w:r>
      <w:r w:rsidR="00ED69E6">
        <w:rPr>
          <w:rFonts w:cstheme="minorHAnsi"/>
          <w:sz w:val="24"/>
          <w:szCs w:val="24"/>
        </w:rPr>
        <w:t xml:space="preserve"> kod </w:t>
      </w:r>
      <w:r w:rsidRPr="001F602C">
        <w:rPr>
          <w:rFonts w:cstheme="minorHAnsi"/>
          <w:sz w:val="24"/>
          <w:szCs w:val="24"/>
        </w:rPr>
        <w:t xml:space="preserve"> prihoda , najviše je rashoda ostvareno iz izvora 5 Pomoći</w:t>
      </w:r>
      <w:r w:rsidR="00E06D62">
        <w:rPr>
          <w:rFonts w:cstheme="minorHAnsi"/>
          <w:sz w:val="24"/>
          <w:szCs w:val="24"/>
        </w:rPr>
        <w:t>, iz tog izvora financ</w:t>
      </w:r>
      <w:r w:rsidR="00ED69E6">
        <w:rPr>
          <w:rFonts w:cstheme="minorHAnsi"/>
          <w:sz w:val="24"/>
          <w:szCs w:val="24"/>
        </w:rPr>
        <w:t>i</w:t>
      </w:r>
      <w:r w:rsidR="00E06D62">
        <w:rPr>
          <w:rFonts w:cstheme="minorHAnsi"/>
          <w:sz w:val="24"/>
          <w:szCs w:val="24"/>
        </w:rPr>
        <w:t xml:space="preserve">rane su plaće MZO, </w:t>
      </w:r>
      <w:r w:rsidR="00ED69E6">
        <w:rPr>
          <w:rFonts w:cstheme="minorHAnsi"/>
          <w:sz w:val="24"/>
          <w:szCs w:val="24"/>
        </w:rPr>
        <w:t xml:space="preserve">također materijalni rashodi koji su financirani </w:t>
      </w:r>
      <w:r w:rsidR="00E06D62">
        <w:rPr>
          <w:rFonts w:cstheme="minorHAnsi"/>
          <w:sz w:val="24"/>
          <w:szCs w:val="24"/>
        </w:rPr>
        <w:t>decentralizira</w:t>
      </w:r>
      <w:r w:rsidR="00ED69E6">
        <w:rPr>
          <w:rFonts w:cstheme="minorHAnsi"/>
          <w:sz w:val="24"/>
          <w:szCs w:val="24"/>
        </w:rPr>
        <w:t>nim</w:t>
      </w:r>
      <w:r w:rsidR="00E06D62">
        <w:rPr>
          <w:rFonts w:cstheme="minorHAnsi"/>
          <w:sz w:val="24"/>
          <w:szCs w:val="24"/>
        </w:rPr>
        <w:t xml:space="preserve"> sredstv</w:t>
      </w:r>
      <w:r w:rsidR="00ED69E6">
        <w:rPr>
          <w:rFonts w:cstheme="minorHAnsi"/>
          <w:sz w:val="24"/>
          <w:szCs w:val="24"/>
        </w:rPr>
        <w:t>ima, te radovi u školskoj dvorani</w:t>
      </w:r>
      <w:r w:rsidR="008A2EF8">
        <w:rPr>
          <w:rFonts w:cstheme="minorHAnsi"/>
          <w:sz w:val="24"/>
          <w:szCs w:val="24"/>
        </w:rPr>
        <w:t>.</w:t>
      </w:r>
    </w:p>
    <w:p w14:paraId="251E76E1" w14:textId="77777777" w:rsidR="008A2EF8" w:rsidRDefault="008A2EF8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1CC3628B" w14:textId="77777777" w:rsidR="00BA00BC" w:rsidRPr="00ED69E6" w:rsidRDefault="00BA00BC" w:rsidP="00C84DF6">
      <w:pPr>
        <w:pStyle w:val="Naslov2"/>
      </w:pPr>
      <w:bookmarkStart w:id="10" w:name="_Toc225494587"/>
      <w:r w:rsidRPr="00ED69E6">
        <w:t>IZVJEŠTAJ O RASHODIMA PREMA FUNKCIJSKOJ KLASIFIKACIJI</w:t>
      </w:r>
      <w:bookmarkEnd w:id="10"/>
    </w:p>
    <w:p w14:paraId="0EA828F2" w14:textId="77777777" w:rsidR="00BA00BC" w:rsidRPr="001F602C" w:rsidRDefault="00BA00BC" w:rsidP="001F602C">
      <w:pPr>
        <w:pStyle w:val="Bezproreda"/>
        <w:spacing w:line="276" w:lineRule="auto"/>
        <w:rPr>
          <w:rFonts w:cstheme="minorHAnsi"/>
          <w:sz w:val="24"/>
          <w:szCs w:val="24"/>
          <w:u w:val="single"/>
        </w:rPr>
      </w:pPr>
    </w:p>
    <w:p w14:paraId="6437731A" w14:textId="77777777" w:rsidR="00ED69E6" w:rsidRDefault="00ED69E6" w:rsidP="00ED69E6">
      <w:pPr>
        <w:pStyle w:val="Opisslike"/>
        <w:keepNext/>
      </w:pPr>
      <w:bookmarkStart w:id="11" w:name="_Toc225494518"/>
      <w:r>
        <w:t xml:space="preserve">Tablica </w:t>
      </w:r>
      <w:fldSimple w:instr=" SEQ Tablica \* ARABIC ">
        <w:r w:rsidR="00C84DF6">
          <w:rPr>
            <w:noProof/>
          </w:rPr>
          <w:t>2</w:t>
        </w:r>
      </w:fldSimple>
      <w:r>
        <w:rPr>
          <w:noProof/>
        </w:rPr>
        <w:t>: Rashodi prema funkcijskoj klasifikaciji</w:t>
      </w:r>
      <w:bookmarkEnd w:id="11"/>
    </w:p>
    <w:tbl>
      <w:tblPr>
        <w:tblStyle w:val="Tablicapopisa4-isticanje11"/>
        <w:tblW w:w="9753" w:type="dxa"/>
        <w:tblLook w:val="04A0" w:firstRow="1" w:lastRow="0" w:firstColumn="1" w:lastColumn="0" w:noHBand="0" w:noVBand="1"/>
      </w:tblPr>
      <w:tblGrid>
        <w:gridCol w:w="1748"/>
        <w:gridCol w:w="1708"/>
        <w:gridCol w:w="1511"/>
        <w:gridCol w:w="1460"/>
        <w:gridCol w:w="2063"/>
        <w:gridCol w:w="1263"/>
      </w:tblGrid>
      <w:tr w:rsidR="00644FC8" w:rsidRPr="00747344" w14:paraId="52C2B54B" w14:textId="77777777" w:rsidTr="00644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hideMark/>
          </w:tcPr>
          <w:p w14:paraId="3E478636" w14:textId="77777777" w:rsidR="00644FC8" w:rsidRPr="00747344" w:rsidRDefault="00644FC8" w:rsidP="009277F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708" w:type="dxa"/>
            <w:hideMark/>
          </w:tcPr>
          <w:p w14:paraId="58F49052" w14:textId="77777777" w:rsidR="00644FC8" w:rsidRPr="00747344" w:rsidRDefault="00644FC8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br/>
              <w:t>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11" w:type="dxa"/>
          </w:tcPr>
          <w:p w14:paraId="3951774D" w14:textId="77777777" w:rsidR="00644FC8" w:rsidRPr="007310AA" w:rsidRDefault="00644FC8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310A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460" w:type="dxa"/>
            <w:hideMark/>
          </w:tcPr>
          <w:p w14:paraId="055A92D4" w14:textId="77777777" w:rsidR="00644FC8" w:rsidRPr="00747344" w:rsidRDefault="00644FC8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br/>
              <w:t>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</w:t>
            </w: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63" w:type="dxa"/>
            <w:hideMark/>
          </w:tcPr>
          <w:p w14:paraId="7EBF77EC" w14:textId="77777777" w:rsidR="00644FC8" w:rsidRPr="00747344" w:rsidRDefault="00644FC8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263" w:type="dxa"/>
            <w:hideMark/>
          </w:tcPr>
          <w:p w14:paraId="12689FAF" w14:textId="77777777" w:rsidR="00644FC8" w:rsidRPr="00747344" w:rsidRDefault="00644FC8" w:rsidP="00927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INDEKS**</w:t>
            </w:r>
          </w:p>
        </w:tc>
      </w:tr>
      <w:tr w:rsidR="00644FC8" w:rsidRPr="00747344" w14:paraId="5A05EA17" w14:textId="77777777" w:rsidTr="0064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hideMark/>
          </w:tcPr>
          <w:p w14:paraId="12B1EB58" w14:textId="77777777" w:rsidR="00644FC8" w:rsidRPr="00747344" w:rsidRDefault="00644FC8" w:rsidP="009277F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8" w:type="dxa"/>
            <w:hideMark/>
          </w:tcPr>
          <w:p w14:paraId="4E9E546D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11" w:type="dxa"/>
          </w:tcPr>
          <w:p w14:paraId="2B19C20D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0" w:type="dxa"/>
            <w:hideMark/>
          </w:tcPr>
          <w:p w14:paraId="16362825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063" w:type="dxa"/>
            <w:hideMark/>
          </w:tcPr>
          <w:p w14:paraId="36AEC87E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263" w:type="dxa"/>
            <w:hideMark/>
          </w:tcPr>
          <w:p w14:paraId="6A4E5453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644FC8" w:rsidRPr="00747344" w14:paraId="2B3E139C" w14:textId="77777777" w:rsidTr="00644FC8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hideMark/>
          </w:tcPr>
          <w:p w14:paraId="2FF24A73" w14:textId="77777777" w:rsidR="00644FC8" w:rsidRPr="00747344" w:rsidRDefault="00644FC8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708" w:type="dxa"/>
            <w:noWrap/>
            <w:hideMark/>
          </w:tcPr>
          <w:p w14:paraId="7D1EEC4C" w14:textId="77777777" w:rsidR="00644FC8" w:rsidRPr="00747344" w:rsidRDefault="00644FC8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3.623.815,36</w:t>
            </w:r>
          </w:p>
        </w:tc>
        <w:tc>
          <w:tcPr>
            <w:tcW w:w="1511" w:type="dxa"/>
          </w:tcPr>
          <w:p w14:paraId="265C2D9A" w14:textId="77777777" w:rsidR="00644FC8" w:rsidRPr="00747344" w:rsidRDefault="00644FC8" w:rsidP="00927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460" w:type="dxa"/>
            <w:noWrap/>
            <w:hideMark/>
          </w:tcPr>
          <w:p w14:paraId="394E2884" w14:textId="77777777" w:rsidR="00644FC8" w:rsidRPr="00747344" w:rsidRDefault="00644FC8" w:rsidP="00927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4.138.151,25</w:t>
            </w:r>
          </w:p>
        </w:tc>
        <w:tc>
          <w:tcPr>
            <w:tcW w:w="2063" w:type="dxa"/>
            <w:noWrap/>
            <w:hideMark/>
          </w:tcPr>
          <w:p w14:paraId="067512F1" w14:textId="77777777" w:rsidR="00644FC8" w:rsidRPr="00747344" w:rsidRDefault="00644FC8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114,19</w:t>
            </w:r>
          </w:p>
        </w:tc>
        <w:tc>
          <w:tcPr>
            <w:tcW w:w="1263" w:type="dxa"/>
            <w:noWrap/>
            <w:hideMark/>
          </w:tcPr>
          <w:p w14:paraId="546469DD" w14:textId="77777777" w:rsidR="00644FC8" w:rsidRPr="00747344" w:rsidRDefault="00644FC8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100,38</w:t>
            </w:r>
          </w:p>
        </w:tc>
      </w:tr>
      <w:tr w:rsidR="00644FC8" w:rsidRPr="00747344" w14:paraId="043EA7CD" w14:textId="77777777" w:rsidTr="0064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hideMark/>
          </w:tcPr>
          <w:p w14:paraId="078316BA" w14:textId="77777777" w:rsidR="00644FC8" w:rsidRPr="00747344" w:rsidRDefault="00644FC8" w:rsidP="009277F1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sz w:val="18"/>
                <w:szCs w:val="18"/>
                <w:lang w:eastAsia="hr-HR"/>
              </w:rPr>
              <w:t>09 Obrazovanje</w:t>
            </w:r>
          </w:p>
        </w:tc>
        <w:tc>
          <w:tcPr>
            <w:tcW w:w="1708" w:type="dxa"/>
            <w:noWrap/>
            <w:hideMark/>
          </w:tcPr>
          <w:p w14:paraId="4B0B82E2" w14:textId="77777777" w:rsidR="00644FC8" w:rsidRPr="00747344" w:rsidRDefault="00644FC8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3.623.815,36</w:t>
            </w:r>
          </w:p>
        </w:tc>
        <w:tc>
          <w:tcPr>
            <w:tcW w:w="1511" w:type="dxa"/>
          </w:tcPr>
          <w:p w14:paraId="13A9037A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460" w:type="dxa"/>
            <w:noWrap/>
            <w:hideMark/>
          </w:tcPr>
          <w:p w14:paraId="55F71DF6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4.138.151,25</w:t>
            </w:r>
          </w:p>
        </w:tc>
        <w:tc>
          <w:tcPr>
            <w:tcW w:w="2063" w:type="dxa"/>
            <w:noWrap/>
            <w:hideMark/>
          </w:tcPr>
          <w:p w14:paraId="04453A84" w14:textId="77777777" w:rsidR="00644FC8" w:rsidRPr="00747344" w:rsidRDefault="00644FC8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114,19</w:t>
            </w:r>
          </w:p>
        </w:tc>
        <w:tc>
          <w:tcPr>
            <w:tcW w:w="1263" w:type="dxa"/>
            <w:noWrap/>
            <w:hideMark/>
          </w:tcPr>
          <w:p w14:paraId="6EE28CC1" w14:textId="77777777" w:rsidR="00644FC8" w:rsidRPr="00747344" w:rsidRDefault="00644FC8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100,38</w:t>
            </w:r>
          </w:p>
        </w:tc>
      </w:tr>
      <w:tr w:rsidR="00644FC8" w:rsidRPr="00747344" w14:paraId="6EEC1272" w14:textId="77777777" w:rsidTr="00644FC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hideMark/>
          </w:tcPr>
          <w:p w14:paraId="72B8154C" w14:textId="77777777" w:rsidR="00644FC8" w:rsidRPr="00747344" w:rsidRDefault="00644FC8" w:rsidP="009277F1">
            <w:pPr>
              <w:rPr>
                <w:rFonts w:ascii="Calibri" w:hAnsi="Calibri" w:cs="Calibri"/>
                <w:i/>
                <w:iCs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i/>
                <w:iCs/>
                <w:sz w:val="18"/>
                <w:szCs w:val="18"/>
                <w:lang w:eastAsia="hr-HR"/>
              </w:rPr>
              <w:t>091 Predškolsko i osnovno obrazovanje</w:t>
            </w:r>
          </w:p>
        </w:tc>
        <w:tc>
          <w:tcPr>
            <w:tcW w:w="1708" w:type="dxa"/>
            <w:noWrap/>
            <w:hideMark/>
          </w:tcPr>
          <w:p w14:paraId="1B15FCCC" w14:textId="77777777" w:rsidR="00644FC8" w:rsidRPr="00747344" w:rsidRDefault="00644FC8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3.623.815,36</w:t>
            </w:r>
          </w:p>
        </w:tc>
        <w:tc>
          <w:tcPr>
            <w:tcW w:w="1511" w:type="dxa"/>
          </w:tcPr>
          <w:p w14:paraId="358FDF13" w14:textId="77777777" w:rsidR="00644FC8" w:rsidRPr="00747344" w:rsidRDefault="00644FC8" w:rsidP="00927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460" w:type="dxa"/>
            <w:noWrap/>
            <w:hideMark/>
          </w:tcPr>
          <w:p w14:paraId="6B6DA1E2" w14:textId="77777777" w:rsidR="00644FC8" w:rsidRPr="00747344" w:rsidRDefault="00644FC8" w:rsidP="00927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4.138.151,25</w:t>
            </w:r>
          </w:p>
        </w:tc>
        <w:tc>
          <w:tcPr>
            <w:tcW w:w="2063" w:type="dxa"/>
            <w:noWrap/>
            <w:hideMark/>
          </w:tcPr>
          <w:p w14:paraId="67E84DF7" w14:textId="77777777" w:rsidR="00644FC8" w:rsidRPr="00747344" w:rsidRDefault="00644FC8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114,19</w:t>
            </w:r>
          </w:p>
        </w:tc>
        <w:tc>
          <w:tcPr>
            <w:tcW w:w="1263" w:type="dxa"/>
            <w:noWrap/>
            <w:hideMark/>
          </w:tcPr>
          <w:p w14:paraId="5603E81A" w14:textId="77777777" w:rsidR="00644FC8" w:rsidRPr="00747344" w:rsidRDefault="00644FC8" w:rsidP="009277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100,38</w:t>
            </w:r>
          </w:p>
        </w:tc>
      </w:tr>
      <w:tr w:rsidR="00644FC8" w:rsidRPr="00747344" w14:paraId="1E330D37" w14:textId="77777777" w:rsidTr="0064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14:paraId="718C99EB" w14:textId="77777777" w:rsidR="00644FC8" w:rsidRPr="00747344" w:rsidRDefault="00644FC8" w:rsidP="009277F1">
            <w:pPr>
              <w:rPr>
                <w:rFonts w:ascii="Calibri" w:hAnsi="Calibri" w:cs="Calibri"/>
                <w:i/>
                <w:iCs/>
                <w:sz w:val="18"/>
                <w:szCs w:val="18"/>
                <w:lang w:eastAsia="hr-HR"/>
              </w:rPr>
            </w:pPr>
            <w:r w:rsidRPr="00747344">
              <w:rPr>
                <w:rFonts w:ascii="Calibri" w:hAnsi="Calibri" w:cs="Calibri"/>
                <w:i/>
                <w:iCs/>
                <w:sz w:val="18"/>
                <w:szCs w:val="18"/>
                <w:lang w:eastAsia="hr-HR"/>
              </w:rPr>
              <w:t>0912 Osnovno obrazovanje</w:t>
            </w:r>
          </w:p>
        </w:tc>
        <w:tc>
          <w:tcPr>
            <w:tcW w:w="1708" w:type="dxa"/>
            <w:noWrap/>
            <w:hideMark/>
          </w:tcPr>
          <w:p w14:paraId="39F9CBFA" w14:textId="77777777" w:rsidR="00644FC8" w:rsidRPr="00747344" w:rsidRDefault="00644FC8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3.623.815,36</w:t>
            </w:r>
          </w:p>
        </w:tc>
        <w:tc>
          <w:tcPr>
            <w:tcW w:w="1511" w:type="dxa"/>
          </w:tcPr>
          <w:p w14:paraId="3F12F62F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4.122.159,00</w:t>
            </w:r>
          </w:p>
        </w:tc>
        <w:tc>
          <w:tcPr>
            <w:tcW w:w="1460" w:type="dxa"/>
            <w:noWrap/>
            <w:hideMark/>
          </w:tcPr>
          <w:p w14:paraId="557B4409" w14:textId="77777777" w:rsidR="00644FC8" w:rsidRPr="00747344" w:rsidRDefault="00644FC8" w:rsidP="00927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4.138.151,25</w:t>
            </w:r>
          </w:p>
        </w:tc>
        <w:tc>
          <w:tcPr>
            <w:tcW w:w="2063" w:type="dxa"/>
            <w:noWrap/>
            <w:hideMark/>
          </w:tcPr>
          <w:p w14:paraId="74EDFABD" w14:textId="77777777" w:rsidR="00644FC8" w:rsidRPr="00747344" w:rsidRDefault="00644FC8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114,19</w:t>
            </w:r>
          </w:p>
        </w:tc>
        <w:tc>
          <w:tcPr>
            <w:tcW w:w="1263" w:type="dxa"/>
            <w:noWrap/>
            <w:hideMark/>
          </w:tcPr>
          <w:p w14:paraId="68B90CF5" w14:textId="77777777" w:rsidR="00644FC8" w:rsidRPr="00747344" w:rsidRDefault="00644FC8" w:rsidP="009277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100,38</w:t>
            </w:r>
          </w:p>
        </w:tc>
      </w:tr>
    </w:tbl>
    <w:p w14:paraId="278EB446" w14:textId="77777777" w:rsidR="00BA00BC" w:rsidRPr="001F602C" w:rsidRDefault="00BA00BC" w:rsidP="001F602C">
      <w:pPr>
        <w:pStyle w:val="Bezproreda"/>
        <w:spacing w:line="276" w:lineRule="auto"/>
        <w:rPr>
          <w:rFonts w:cstheme="minorHAnsi"/>
          <w:sz w:val="24"/>
          <w:szCs w:val="24"/>
          <w:u w:val="single"/>
        </w:rPr>
      </w:pPr>
    </w:p>
    <w:p w14:paraId="28A6AB3C" w14:textId="77777777" w:rsidR="00CA4B08" w:rsidRDefault="00CA4B08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1D03F36B" w14:textId="77777777" w:rsidR="00C526BF" w:rsidRDefault="00CA4B08" w:rsidP="00ED69E6">
      <w:pPr>
        <w:pStyle w:val="Bezproreda"/>
        <w:spacing w:line="360" w:lineRule="auto"/>
        <w:jc w:val="both"/>
        <w:rPr>
          <w:sz w:val="24"/>
          <w:szCs w:val="24"/>
        </w:rPr>
      </w:pPr>
      <w:r w:rsidRPr="00CA4B08">
        <w:rPr>
          <w:sz w:val="24"/>
          <w:szCs w:val="24"/>
        </w:rPr>
        <w:t>Iz izvještaja o rashodima prema funkcijskoj klasifikaciji pod oznakom 0912 Osnovno obrazovanje vidljivo je povećanje rashoda za 14% u 2025. godini u odnosu na 2024. godinu. Također, rashodi su ostvareni na razini tekućeg plana za 2025. godinu, uz minimalno odstupanje, što ukazuje na uravnoteženo i precizno planiranje.</w:t>
      </w:r>
    </w:p>
    <w:p w14:paraId="3B9E0273" w14:textId="77777777" w:rsidR="00E3739A" w:rsidRDefault="00E3739A" w:rsidP="00506F08">
      <w:pPr>
        <w:pStyle w:val="Bezproreda"/>
        <w:spacing w:line="276" w:lineRule="auto"/>
        <w:jc w:val="both"/>
        <w:rPr>
          <w:sz w:val="24"/>
          <w:szCs w:val="24"/>
        </w:rPr>
      </w:pPr>
    </w:p>
    <w:p w14:paraId="37D0C08E" w14:textId="77777777" w:rsidR="00E3739A" w:rsidRDefault="00E3739A" w:rsidP="00506F08">
      <w:pPr>
        <w:pStyle w:val="Bezproreda"/>
        <w:spacing w:line="276" w:lineRule="auto"/>
        <w:jc w:val="both"/>
        <w:rPr>
          <w:sz w:val="24"/>
          <w:szCs w:val="24"/>
        </w:rPr>
      </w:pPr>
    </w:p>
    <w:p w14:paraId="5E77EC10" w14:textId="77777777" w:rsidR="009B28A7" w:rsidRDefault="009B28A7" w:rsidP="00506F08">
      <w:pPr>
        <w:pStyle w:val="Bezproreda"/>
        <w:spacing w:line="276" w:lineRule="auto"/>
        <w:jc w:val="both"/>
        <w:rPr>
          <w:sz w:val="24"/>
          <w:szCs w:val="24"/>
        </w:rPr>
      </w:pPr>
    </w:p>
    <w:p w14:paraId="39A811E8" w14:textId="77777777" w:rsidR="00ED69E6" w:rsidRDefault="00ED69E6" w:rsidP="00506F08">
      <w:pPr>
        <w:pStyle w:val="Bezproreda"/>
        <w:spacing w:line="276" w:lineRule="auto"/>
        <w:jc w:val="both"/>
        <w:rPr>
          <w:sz w:val="24"/>
          <w:szCs w:val="24"/>
        </w:rPr>
      </w:pPr>
    </w:p>
    <w:p w14:paraId="7FC3C0ED" w14:textId="77777777" w:rsidR="009B28A7" w:rsidRPr="00ED69E6" w:rsidRDefault="009B28A7" w:rsidP="00C84DF6">
      <w:pPr>
        <w:pStyle w:val="Naslov2"/>
      </w:pPr>
      <w:bookmarkStart w:id="12" w:name="_Toc225494588"/>
      <w:r w:rsidRPr="00ED69E6">
        <w:t>IZVJEŠTAJ O KORIŠTENJU SREDSTAVA FONDOVA EUROPSKE UNIJE</w:t>
      </w:r>
      <w:bookmarkEnd w:id="12"/>
    </w:p>
    <w:p w14:paraId="13CD4786" w14:textId="77777777" w:rsidR="00E3739A" w:rsidRPr="00ED69E6" w:rsidRDefault="00E3739A" w:rsidP="00506F08">
      <w:pPr>
        <w:pStyle w:val="Bezproreda"/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453DAA3C" w14:textId="77777777" w:rsidR="00C84DF6" w:rsidRDefault="00C84DF6" w:rsidP="00C84DF6">
      <w:pPr>
        <w:pStyle w:val="Opisslike"/>
        <w:keepNext/>
      </w:pPr>
      <w:bookmarkStart w:id="13" w:name="_Toc225494519"/>
      <w:r>
        <w:t xml:space="preserve">Tablica </w:t>
      </w:r>
      <w:fldSimple w:instr=" SEQ Tablica \* ARABIC ">
        <w:r>
          <w:rPr>
            <w:noProof/>
          </w:rPr>
          <w:t>3</w:t>
        </w:r>
      </w:fldSimple>
      <w:r>
        <w:t>: Izvještaj o korištenju EU sredstava</w:t>
      </w:r>
      <w:bookmarkEnd w:id="13"/>
    </w:p>
    <w:tbl>
      <w:tblPr>
        <w:tblStyle w:val="Tablicareetke4-isticanje11"/>
        <w:tblW w:w="0" w:type="auto"/>
        <w:tblLook w:val="04A0" w:firstRow="1" w:lastRow="0" w:firstColumn="1" w:lastColumn="0" w:noHBand="0" w:noVBand="1"/>
      </w:tblPr>
      <w:tblGrid>
        <w:gridCol w:w="1511"/>
        <w:gridCol w:w="2022"/>
        <w:gridCol w:w="1972"/>
        <w:gridCol w:w="1503"/>
        <w:gridCol w:w="2054"/>
      </w:tblGrid>
      <w:tr w:rsidR="00E3739A" w:rsidRPr="00ED69E6" w14:paraId="5F28F698" w14:textId="77777777" w:rsidTr="00E3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</w:tcPr>
          <w:p w14:paraId="69B88F5E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ED69E6">
              <w:rPr>
                <w:color w:val="auto"/>
                <w:sz w:val="24"/>
                <w:szCs w:val="24"/>
              </w:rPr>
              <w:t>PRIHODI</w:t>
            </w:r>
          </w:p>
        </w:tc>
        <w:tc>
          <w:tcPr>
            <w:tcW w:w="2022" w:type="dxa"/>
          </w:tcPr>
          <w:p w14:paraId="6861059A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D69E6">
              <w:rPr>
                <w:color w:val="auto"/>
                <w:sz w:val="24"/>
                <w:szCs w:val="24"/>
              </w:rPr>
              <w:t>OPIS STAVKE</w:t>
            </w:r>
          </w:p>
        </w:tc>
        <w:tc>
          <w:tcPr>
            <w:tcW w:w="1972" w:type="dxa"/>
          </w:tcPr>
          <w:p w14:paraId="6D20D9D5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D69E6">
              <w:rPr>
                <w:color w:val="auto"/>
                <w:sz w:val="24"/>
                <w:szCs w:val="24"/>
              </w:rPr>
              <w:t>OSTVARENO U IZVJEŠTAJNOM RAZDOBLJU 2024. GODINE</w:t>
            </w:r>
          </w:p>
        </w:tc>
        <w:tc>
          <w:tcPr>
            <w:tcW w:w="1503" w:type="dxa"/>
          </w:tcPr>
          <w:p w14:paraId="2051A802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D69E6">
              <w:rPr>
                <w:color w:val="auto"/>
                <w:sz w:val="24"/>
                <w:szCs w:val="24"/>
              </w:rPr>
              <w:t>IZVORNI PLAN 2025.</w:t>
            </w:r>
          </w:p>
        </w:tc>
        <w:tc>
          <w:tcPr>
            <w:tcW w:w="2054" w:type="dxa"/>
          </w:tcPr>
          <w:p w14:paraId="77A7104B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D69E6">
              <w:rPr>
                <w:color w:val="auto"/>
                <w:sz w:val="24"/>
                <w:szCs w:val="24"/>
              </w:rPr>
              <w:t>OSTVARENO U IZVJEŠTAJNOM RAZDOBLJU 2025. GODINE</w:t>
            </w:r>
          </w:p>
        </w:tc>
      </w:tr>
      <w:tr w:rsidR="00E3739A" w:rsidRPr="00ED69E6" w14:paraId="5F955F2E" w14:textId="77777777" w:rsidTr="00E3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</w:tcPr>
          <w:p w14:paraId="41890E0B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ED69E6">
              <w:rPr>
                <w:b w:val="0"/>
                <w:bCs w:val="0"/>
                <w:sz w:val="24"/>
                <w:szCs w:val="24"/>
              </w:rPr>
              <w:t>632</w:t>
            </w:r>
          </w:p>
        </w:tc>
        <w:tc>
          <w:tcPr>
            <w:tcW w:w="2022" w:type="dxa"/>
          </w:tcPr>
          <w:p w14:paraId="41EC9A42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9E6">
              <w:rPr>
                <w:sz w:val="24"/>
                <w:szCs w:val="24"/>
              </w:rPr>
              <w:t>Pomoći od međun</w:t>
            </w:r>
            <w:r w:rsidR="009277F1" w:rsidRPr="00ED69E6">
              <w:rPr>
                <w:sz w:val="24"/>
                <w:szCs w:val="24"/>
              </w:rPr>
              <w:t>arodnih organizacija te institu</w:t>
            </w:r>
            <w:r w:rsidRPr="00ED69E6">
              <w:rPr>
                <w:sz w:val="24"/>
                <w:szCs w:val="24"/>
              </w:rPr>
              <w:t>cija i tijela EU</w:t>
            </w:r>
          </w:p>
        </w:tc>
        <w:tc>
          <w:tcPr>
            <w:tcW w:w="1972" w:type="dxa"/>
          </w:tcPr>
          <w:p w14:paraId="2CE69CC9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9E6">
              <w:rPr>
                <w:sz w:val="24"/>
                <w:szCs w:val="24"/>
              </w:rPr>
              <w:t>0,00</w:t>
            </w:r>
          </w:p>
        </w:tc>
        <w:tc>
          <w:tcPr>
            <w:tcW w:w="1503" w:type="dxa"/>
          </w:tcPr>
          <w:p w14:paraId="26199773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9E6">
              <w:rPr>
                <w:sz w:val="24"/>
                <w:szCs w:val="24"/>
              </w:rPr>
              <w:t>4.000,00</w:t>
            </w:r>
          </w:p>
        </w:tc>
        <w:tc>
          <w:tcPr>
            <w:tcW w:w="2054" w:type="dxa"/>
          </w:tcPr>
          <w:p w14:paraId="3ED3D4BE" w14:textId="77777777" w:rsidR="00E3739A" w:rsidRPr="00ED69E6" w:rsidRDefault="00E3739A" w:rsidP="00E3739A">
            <w:pPr>
              <w:pStyle w:val="Bezproreda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9E6">
              <w:rPr>
                <w:sz w:val="24"/>
                <w:szCs w:val="24"/>
              </w:rPr>
              <w:t>6.856,50</w:t>
            </w:r>
          </w:p>
        </w:tc>
      </w:tr>
    </w:tbl>
    <w:p w14:paraId="00713F9B" w14:textId="77777777" w:rsidR="00E3739A" w:rsidRPr="00ED69E6" w:rsidRDefault="00E3739A" w:rsidP="00506F08">
      <w:pPr>
        <w:pStyle w:val="Bezproreda"/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13A1D343" w14:textId="77777777" w:rsidR="009B28A7" w:rsidRPr="00ED69E6" w:rsidRDefault="009B28A7" w:rsidP="00C84DF6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ED69E6">
        <w:rPr>
          <w:rFonts w:asciiTheme="minorHAnsi" w:hAnsiTheme="minorHAnsi" w:cstheme="minorHAnsi"/>
        </w:rPr>
        <w:t>U izvještajnom razdoblju evidentirani su prihodi od pomoći međunarodnih organizacija te institucija i tijela Europske unije (konto 632). U 2024. godini nije bilo ostvarenih prihoda po ovoj osnovi</w:t>
      </w:r>
      <w:r w:rsidR="009277F1" w:rsidRPr="00ED69E6">
        <w:rPr>
          <w:rFonts w:asciiTheme="minorHAnsi" w:hAnsiTheme="minorHAnsi" w:cstheme="minorHAnsi"/>
        </w:rPr>
        <w:t>, dok su ostvareni rashodi preneseni kao manjak iz navedenog izvora</w:t>
      </w:r>
      <w:r w:rsidRPr="00ED69E6">
        <w:rPr>
          <w:rFonts w:asciiTheme="minorHAnsi" w:hAnsiTheme="minorHAnsi" w:cstheme="minorHAnsi"/>
        </w:rPr>
        <w:t>.</w:t>
      </w:r>
    </w:p>
    <w:p w14:paraId="42325C6D" w14:textId="77777777" w:rsidR="009B28A7" w:rsidRPr="00ED69E6" w:rsidRDefault="009B28A7" w:rsidP="00C84DF6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ED69E6">
        <w:rPr>
          <w:rFonts w:asciiTheme="minorHAnsi" w:hAnsiTheme="minorHAnsi" w:cstheme="minorHAnsi"/>
        </w:rPr>
        <w:t>Za 2025. godinu planirani iznos prihoda iznosio je 4.000,00 EUR, dok je stvarno ostvarenje u izvještajnom razdoblju 2025. godine iznosilo 6.856,50 EUR, što predstavlja veće ostvarenje u odnosu na plan</w:t>
      </w:r>
      <w:r w:rsidR="009277F1" w:rsidRPr="00ED69E6">
        <w:rPr>
          <w:rFonts w:asciiTheme="minorHAnsi" w:hAnsiTheme="minorHAnsi" w:cstheme="minorHAnsi"/>
        </w:rPr>
        <w:t xml:space="preserve"> te se time pokriva manjak po navedenom izvoru</w:t>
      </w:r>
      <w:r w:rsidRPr="00ED69E6">
        <w:rPr>
          <w:rFonts w:asciiTheme="minorHAnsi" w:hAnsiTheme="minorHAnsi" w:cstheme="minorHAnsi"/>
        </w:rPr>
        <w:t>.</w:t>
      </w:r>
    </w:p>
    <w:p w14:paraId="21109196" w14:textId="77777777" w:rsidR="00E3739A" w:rsidRDefault="00E3739A" w:rsidP="00C84DF6">
      <w:pPr>
        <w:pStyle w:val="Naslov2"/>
      </w:pPr>
    </w:p>
    <w:p w14:paraId="13ADEA55" w14:textId="77777777" w:rsidR="00C526BF" w:rsidRPr="00C84DF6" w:rsidRDefault="00C526BF" w:rsidP="00C84DF6">
      <w:pPr>
        <w:pStyle w:val="Naslov2"/>
        <w:rPr>
          <w:sz w:val="24"/>
          <w:szCs w:val="24"/>
        </w:rPr>
      </w:pPr>
      <w:bookmarkStart w:id="14" w:name="_Toc225494589"/>
      <w:r w:rsidRPr="00C84DF6">
        <w:rPr>
          <w:sz w:val="24"/>
          <w:szCs w:val="24"/>
        </w:rPr>
        <w:t>RAČUN FINANCIRANJA</w:t>
      </w:r>
      <w:bookmarkEnd w:id="14"/>
      <w:r w:rsidRPr="00C84DF6">
        <w:rPr>
          <w:sz w:val="24"/>
          <w:szCs w:val="24"/>
        </w:rPr>
        <w:t xml:space="preserve"> </w:t>
      </w:r>
    </w:p>
    <w:p w14:paraId="12037342" w14:textId="77777777" w:rsidR="00C526BF" w:rsidRPr="001F602C" w:rsidRDefault="00C526BF" w:rsidP="001F602C">
      <w:pPr>
        <w:pStyle w:val="Bezproreda"/>
        <w:spacing w:line="276" w:lineRule="auto"/>
        <w:rPr>
          <w:rFonts w:cstheme="minorHAnsi"/>
          <w:sz w:val="24"/>
          <w:szCs w:val="24"/>
          <w:u w:val="single"/>
        </w:rPr>
      </w:pPr>
    </w:p>
    <w:p w14:paraId="29695D2E" w14:textId="77777777" w:rsidR="00C526BF" w:rsidRPr="001F602C" w:rsidRDefault="00C526BF" w:rsidP="00C84DF6">
      <w:pPr>
        <w:pStyle w:val="Bezproreda"/>
        <w:spacing w:line="360" w:lineRule="auto"/>
        <w:jc w:val="both"/>
        <w:rPr>
          <w:rFonts w:cstheme="minorHAnsi"/>
          <w:sz w:val="24"/>
          <w:szCs w:val="24"/>
        </w:rPr>
      </w:pPr>
      <w:r w:rsidRPr="001F602C">
        <w:rPr>
          <w:rFonts w:cstheme="minorHAnsi"/>
          <w:sz w:val="24"/>
          <w:szCs w:val="24"/>
        </w:rPr>
        <w:t>U 202</w:t>
      </w:r>
      <w:r w:rsidR="00506F08">
        <w:rPr>
          <w:rFonts w:cstheme="minorHAnsi"/>
          <w:sz w:val="24"/>
          <w:szCs w:val="24"/>
        </w:rPr>
        <w:t>5</w:t>
      </w:r>
      <w:r w:rsidRPr="001F602C">
        <w:rPr>
          <w:rFonts w:cstheme="minorHAnsi"/>
          <w:sz w:val="24"/>
          <w:szCs w:val="24"/>
        </w:rPr>
        <w:t>.</w:t>
      </w:r>
      <w:r w:rsidR="00506F08" w:rsidRPr="001F602C">
        <w:rPr>
          <w:rFonts w:cstheme="minorHAnsi"/>
          <w:sz w:val="24"/>
          <w:szCs w:val="24"/>
        </w:rPr>
        <w:t>godini</w:t>
      </w:r>
      <w:r w:rsidRPr="001F602C">
        <w:rPr>
          <w:rFonts w:cstheme="minorHAnsi"/>
          <w:sz w:val="24"/>
          <w:szCs w:val="24"/>
        </w:rPr>
        <w:t xml:space="preserve"> nije bilo primitaka od financijske imovine i zaduživanja </w:t>
      </w:r>
      <w:r w:rsidR="00DC25E8">
        <w:rPr>
          <w:rFonts w:cstheme="minorHAnsi"/>
          <w:sz w:val="24"/>
          <w:szCs w:val="24"/>
        </w:rPr>
        <w:t>pa navedeno nije niti planirano</w:t>
      </w:r>
      <w:r w:rsidRPr="001F602C">
        <w:rPr>
          <w:rFonts w:cstheme="minorHAnsi"/>
          <w:sz w:val="24"/>
          <w:szCs w:val="24"/>
        </w:rPr>
        <w:t xml:space="preserve"> ni</w:t>
      </w:r>
      <w:r w:rsidR="00DC25E8">
        <w:rPr>
          <w:rFonts w:cstheme="minorHAnsi"/>
          <w:sz w:val="24"/>
          <w:szCs w:val="24"/>
        </w:rPr>
        <w:t>ti izvršeno</w:t>
      </w:r>
      <w:r w:rsidRPr="001F602C">
        <w:rPr>
          <w:rFonts w:cstheme="minorHAnsi"/>
          <w:sz w:val="24"/>
          <w:szCs w:val="24"/>
        </w:rPr>
        <w:t xml:space="preserve">. </w:t>
      </w:r>
      <w:r w:rsidR="00DC25E8">
        <w:rPr>
          <w:rFonts w:cstheme="minorHAnsi"/>
          <w:sz w:val="24"/>
          <w:szCs w:val="24"/>
        </w:rPr>
        <w:t>Također,</w:t>
      </w:r>
      <w:r w:rsidRPr="001F602C">
        <w:rPr>
          <w:rFonts w:cstheme="minorHAnsi"/>
          <w:sz w:val="24"/>
          <w:szCs w:val="24"/>
        </w:rPr>
        <w:t xml:space="preserve"> </w:t>
      </w:r>
      <w:r w:rsidR="00DC25E8">
        <w:rPr>
          <w:rFonts w:cstheme="minorHAnsi"/>
          <w:sz w:val="24"/>
          <w:szCs w:val="24"/>
        </w:rPr>
        <w:t>niti</w:t>
      </w:r>
      <w:r w:rsidRPr="001F602C">
        <w:rPr>
          <w:rFonts w:cstheme="minorHAnsi"/>
          <w:sz w:val="24"/>
          <w:szCs w:val="24"/>
        </w:rPr>
        <w:t xml:space="preserve"> </w:t>
      </w:r>
      <w:r w:rsidR="00C6281B">
        <w:rPr>
          <w:rFonts w:cstheme="minorHAnsi"/>
          <w:sz w:val="24"/>
          <w:szCs w:val="24"/>
        </w:rPr>
        <w:t xml:space="preserve">izvještaj </w:t>
      </w:r>
      <w:r w:rsidRPr="001F602C">
        <w:rPr>
          <w:rFonts w:cstheme="minorHAnsi"/>
          <w:sz w:val="24"/>
          <w:szCs w:val="24"/>
        </w:rPr>
        <w:t>račun</w:t>
      </w:r>
      <w:r w:rsidR="00C6281B">
        <w:rPr>
          <w:rFonts w:cstheme="minorHAnsi"/>
          <w:sz w:val="24"/>
          <w:szCs w:val="24"/>
        </w:rPr>
        <w:t>a financiranja prema izvoru nije primjenjiv u izvještaju za 2025. godinu</w:t>
      </w:r>
    </w:p>
    <w:p w14:paraId="4A287C03" w14:textId="77777777" w:rsidR="00E12EDA" w:rsidRDefault="00E12EDA" w:rsidP="00C84DF6">
      <w:pPr>
        <w:pStyle w:val="Bezproreda"/>
        <w:spacing w:line="360" w:lineRule="auto"/>
        <w:rPr>
          <w:rFonts w:cstheme="minorHAnsi"/>
          <w:sz w:val="24"/>
          <w:szCs w:val="24"/>
        </w:rPr>
      </w:pPr>
    </w:p>
    <w:p w14:paraId="0E2A51D0" w14:textId="77777777" w:rsidR="00FB1309" w:rsidRDefault="00FB1309" w:rsidP="00C84DF6">
      <w:pPr>
        <w:pStyle w:val="Bezproreda"/>
        <w:spacing w:line="360" w:lineRule="auto"/>
        <w:rPr>
          <w:rFonts w:cstheme="minorHAnsi"/>
          <w:sz w:val="24"/>
          <w:szCs w:val="24"/>
        </w:rPr>
      </w:pPr>
    </w:p>
    <w:p w14:paraId="0891606C" w14:textId="77777777" w:rsidR="00FB1309" w:rsidRDefault="00FB1309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4C2CCA21" w14:textId="77777777" w:rsidR="008014D8" w:rsidRDefault="008014D8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6D5324FC" w14:textId="77777777" w:rsidR="008014D8" w:rsidRDefault="008014D8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29BEBEF3" w14:textId="77777777" w:rsidR="008014D8" w:rsidRDefault="008014D8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15B03D3B" w14:textId="77777777" w:rsidR="00E3739A" w:rsidRDefault="00E3739A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2529C8D1" w14:textId="77777777" w:rsidR="00C6281B" w:rsidRDefault="00C6281B" w:rsidP="001F602C">
      <w:pPr>
        <w:pStyle w:val="Bezproreda"/>
        <w:spacing w:line="276" w:lineRule="auto"/>
        <w:rPr>
          <w:rFonts w:cstheme="minorHAnsi"/>
          <w:sz w:val="24"/>
          <w:szCs w:val="24"/>
        </w:rPr>
      </w:pPr>
    </w:p>
    <w:p w14:paraId="4F09BF3C" w14:textId="77777777" w:rsidR="00C72862" w:rsidRPr="00C84DF6" w:rsidRDefault="00C84DF6" w:rsidP="00C84DF6">
      <w:pPr>
        <w:pStyle w:val="Naslov1"/>
      </w:pPr>
      <w:bookmarkStart w:id="15" w:name="_Toc225494590"/>
      <w:r>
        <w:lastRenderedPageBreak/>
        <w:t xml:space="preserve">II. </w:t>
      </w:r>
      <w:r w:rsidR="00C72862" w:rsidRPr="00C84DF6">
        <w:t>POSEBNI DIO</w:t>
      </w:r>
      <w:bookmarkEnd w:id="15"/>
    </w:p>
    <w:p w14:paraId="43FA3B4F" w14:textId="77777777" w:rsidR="00C72862" w:rsidRPr="001F602C" w:rsidRDefault="00C72862" w:rsidP="001F602C">
      <w:pPr>
        <w:spacing w:line="276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71C22FB8" w14:textId="77777777" w:rsidR="00DC4A05" w:rsidRPr="003A0E08" w:rsidRDefault="002E359D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Posebni dio godišnjeg izvještaja o izvršenju financijskog plana proračunskog korisnika sadrži izvršenje rashoda i izdataka iskazanih po izvorima financiranja i ekonomskoj klasifikaciji, raspoređenih u programe koji se sastoje od aktivnosti i projekata.</w:t>
      </w:r>
    </w:p>
    <w:p w14:paraId="41ADA6DF" w14:textId="77777777" w:rsidR="006B07E9" w:rsidRPr="003A0E08" w:rsidRDefault="00DC4A05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Osnovno i srednjoškolsko obrazovanje u 2025. godini iznosi 4.080.152,50 €. </w:t>
      </w:r>
    </w:p>
    <w:p w14:paraId="3DE78AC2" w14:textId="77777777" w:rsidR="00B73A63" w:rsidRPr="003A0E08" w:rsidRDefault="006B07E9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Aktivnost A400402 – Materijalni rashodi po zakonskom standardu</w:t>
      </w:r>
    </w:p>
    <w:p w14:paraId="76C314D5" w14:textId="5AF90419" w:rsidR="006B07E9" w:rsidRPr="003A0E08" w:rsidRDefault="00B73A63" w:rsidP="003A0E08">
      <w:pPr>
        <w:spacing w:line="360" w:lineRule="auto"/>
        <w:jc w:val="both"/>
        <w:rPr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Rashodi su </w:t>
      </w:r>
      <w:r w:rsidR="006B07E9" w:rsidRPr="003A0E08">
        <w:rPr>
          <w:rFonts w:asciiTheme="minorHAnsi" w:hAnsiTheme="minorHAnsi" w:cstheme="minorHAnsi"/>
          <w:sz w:val="24"/>
          <w:szCs w:val="24"/>
        </w:rPr>
        <w:t xml:space="preserve">ostvareni u iznosu od 442.749,56 eura, što je </w:t>
      </w:r>
      <w:r w:rsidR="00892BBA" w:rsidRPr="003A0E08">
        <w:rPr>
          <w:rFonts w:asciiTheme="minorHAnsi" w:hAnsiTheme="minorHAnsi" w:cstheme="minorHAnsi"/>
          <w:sz w:val="24"/>
          <w:szCs w:val="24"/>
        </w:rPr>
        <w:t>1,75</w:t>
      </w:r>
      <w:r w:rsidR="006B07E9" w:rsidRPr="003A0E08">
        <w:rPr>
          <w:rFonts w:asciiTheme="minorHAnsi" w:hAnsiTheme="minorHAnsi" w:cstheme="minorHAnsi"/>
          <w:sz w:val="24"/>
          <w:szCs w:val="24"/>
        </w:rPr>
        <w:t xml:space="preserve"> % više od planiranih sredstava za 2025. godinu.</w:t>
      </w:r>
      <w:r w:rsidR="00983A93">
        <w:rPr>
          <w:rFonts w:asciiTheme="minorHAnsi" w:hAnsiTheme="minorHAnsi" w:cstheme="minorHAnsi"/>
          <w:sz w:val="24"/>
          <w:szCs w:val="24"/>
        </w:rPr>
        <w:t xml:space="preserve"> </w:t>
      </w:r>
      <w:r w:rsidR="009A0BFE" w:rsidRPr="003A0E08">
        <w:rPr>
          <w:rFonts w:asciiTheme="minorHAnsi" w:hAnsiTheme="minorHAnsi" w:cstheme="minorHAnsi"/>
          <w:sz w:val="24"/>
          <w:szCs w:val="24"/>
        </w:rPr>
        <w:t xml:space="preserve">Rashodi iz Izvora 1 – opći prihodi i primici povećani su za </w:t>
      </w:r>
      <w:r w:rsidR="00B11AC2" w:rsidRPr="003A0E08">
        <w:rPr>
          <w:rFonts w:asciiTheme="minorHAnsi" w:hAnsiTheme="minorHAnsi" w:cstheme="minorHAnsi"/>
          <w:sz w:val="24"/>
          <w:szCs w:val="24"/>
        </w:rPr>
        <w:t>0,30</w:t>
      </w:r>
      <w:r w:rsidR="009A0BFE" w:rsidRPr="003A0E08">
        <w:rPr>
          <w:rFonts w:asciiTheme="minorHAnsi" w:hAnsiTheme="minorHAnsi" w:cstheme="minorHAnsi"/>
          <w:sz w:val="24"/>
          <w:szCs w:val="24"/>
        </w:rPr>
        <w:t xml:space="preserve">%, dok su rashodi iz Izvora 5 – tekuće pomoći veći za </w:t>
      </w:r>
      <w:r w:rsidR="00B11AC2" w:rsidRPr="003A0E08">
        <w:rPr>
          <w:rFonts w:asciiTheme="minorHAnsi" w:hAnsiTheme="minorHAnsi" w:cstheme="minorHAnsi"/>
          <w:sz w:val="24"/>
          <w:szCs w:val="24"/>
        </w:rPr>
        <w:t>2,28</w:t>
      </w:r>
      <w:r w:rsidR="009A0BFE" w:rsidRPr="003A0E08">
        <w:rPr>
          <w:rFonts w:asciiTheme="minorHAnsi" w:hAnsiTheme="minorHAnsi" w:cstheme="minorHAnsi"/>
          <w:sz w:val="24"/>
          <w:szCs w:val="24"/>
        </w:rPr>
        <w:t>% u odnosu na plan. Ukupno gledano, rashodi su realizirani u skladu s planom, uz povećanja u ključnim izvorima financiranja.</w:t>
      </w:r>
    </w:p>
    <w:p w14:paraId="35031FD9" w14:textId="77777777" w:rsidR="00A941BD" w:rsidRPr="003A0E08" w:rsidRDefault="008A79EC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Aktivnost A</w:t>
      </w:r>
      <w:r w:rsidR="00AA00D0" w:rsidRPr="003A0E08">
        <w:rPr>
          <w:rFonts w:asciiTheme="minorHAnsi" w:hAnsiTheme="minorHAnsi" w:cstheme="minorHAnsi"/>
          <w:b/>
          <w:bCs/>
          <w:sz w:val="24"/>
          <w:szCs w:val="24"/>
        </w:rPr>
        <w:t>400403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 xml:space="preserve"> Glazbena škola</w:t>
      </w:r>
    </w:p>
    <w:p w14:paraId="53E99409" w14:textId="77777777" w:rsidR="00AA00D0" w:rsidRPr="003A0E08" w:rsidRDefault="00A941BD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Rashodi aktivnosti Glazbena škola ostvareni su u iznosu od 5.314,95 eura, što je 37,5% manje od planiranih sredstava (8.500,00 eura). Sredstva iz Izvora 4 – prihodi za posebne namjene iskorištena su za materijalne rashode, stručna usavršavanja i tekuće održavanje škole. </w:t>
      </w:r>
    </w:p>
    <w:p w14:paraId="42E0ECB2" w14:textId="77777777" w:rsidR="00497DB2" w:rsidRPr="003A0E08" w:rsidRDefault="00AA00D0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Aktivnost A400404Produženi boravak</w:t>
      </w:r>
    </w:p>
    <w:p w14:paraId="49E530D2" w14:textId="77777777" w:rsidR="00C6281B" w:rsidRPr="003A0E08" w:rsidRDefault="00497DB2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P</w:t>
      </w:r>
      <w:r w:rsidR="00AA00D0" w:rsidRPr="003A0E08">
        <w:rPr>
          <w:rFonts w:asciiTheme="minorHAnsi" w:hAnsiTheme="minorHAnsi" w:cstheme="minorHAnsi"/>
          <w:sz w:val="24"/>
          <w:szCs w:val="24"/>
        </w:rPr>
        <w:t xml:space="preserve">rogram produženog boravka financira se iz općih prihoda i primitaka, prihoda od poreza te prihoda za posebne namjene za prehranu učenika koje doznačuju roditelji prema ugovoru, dok se dio prehrane financira iz sredstava MZOM-a. U 2025. godini ostvareni rashodi iznose 135.789,97 eura, što </w:t>
      </w:r>
      <w:r w:rsidR="004257CE" w:rsidRPr="003A0E08">
        <w:rPr>
          <w:rFonts w:asciiTheme="minorHAnsi" w:hAnsiTheme="minorHAnsi" w:cstheme="minorHAnsi"/>
          <w:sz w:val="24"/>
          <w:szCs w:val="24"/>
        </w:rPr>
        <w:t xml:space="preserve">što predstavlja povećanje od </w:t>
      </w:r>
      <w:r w:rsidR="00B60AAC" w:rsidRPr="003A0E08">
        <w:rPr>
          <w:rFonts w:asciiTheme="minorHAnsi" w:hAnsiTheme="minorHAnsi" w:cstheme="minorHAnsi"/>
          <w:sz w:val="24"/>
          <w:szCs w:val="24"/>
        </w:rPr>
        <w:t xml:space="preserve">0, 007 </w:t>
      </w:r>
      <w:r w:rsidR="004257CE" w:rsidRPr="003A0E08">
        <w:rPr>
          <w:rFonts w:asciiTheme="minorHAnsi" w:hAnsiTheme="minorHAnsi" w:cstheme="minorHAnsi"/>
          <w:sz w:val="24"/>
          <w:szCs w:val="24"/>
        </w:rPr>
        <w:t>% u odnosu na planirana sredstva za 2025. godinu.</w:t>
      </w:r>
    </w:p>
    <w:p w14:paraId="788EBF0E" w14:textId="77777777" w:rsidR="00C6281B" w:rsidRPr="003A0E08" w:rsidRDefault="004257CE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U ovom razdoblju rashodi su većim dijelom realizirani iz Izvora 1, opći prihodi i primici, gdje je vidljivo blago povećanje u odnosu na planirana sredstva. Rashodi za zaposlene ostvareni su u nešto većem iznosu od planiranog.</w:t>
      </w:r>
    </w:p>
    <w:p w14:paraId="174462F7" w14:textId="77777777" w:rsidR="00EA7E20" w:rsidRPr="003A0E08" w:rsidRDefault="004257CE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Iz Izvora 4, prihodi za posebne namjene PK, ostvareni su manji rashodi u odnosu na plan, posebice u dijelu materijalnih rashoda za namirnice i ostale potrebe učenika. Istovremeno, evidentirano je povećanje rashoda za nabavu dugotrajne imovine u odnosu na planirana sredstva.</w:t>
      </w:r>
    </w:p>
    <w:p w14:paraId="35956058" w14:textId="77777777" w:rsidR="003A0E08" w:rsidRDefault="003A0E08" w:rsidP="003A0E0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E9DD5CD" w14:textId="77777777" w:rsidR="003A0E08" w:rsidRDefault="003A0E08" w:rsidP="003A0E0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FFE67" w14:textId="77777777" w:rsidR="003A0E08" w:rsidRDefault="003A0E08" w:rsidP="003A0E0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6F8299" w14:textId="77777777" w:rsidR="003A0E08" w:rsidRDefault="003A0E08" w:rsidP="003A0E0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6F1DE81" w14:textId="77777777" w:rsidR="00EA7E20" w:rsidRPr="003A0E08" w:rsidRDefault="00E33E47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lastRenderedPageBreak/>
        <w:t>Aktivnost A</w:t>
      </w:r>
      <w:r w:rsidR="00957138" w:rsidRPr="003A0E08">
        <w:rPr>
          <w:rFonts w:asciiTheme="minorHAnsi" w:hAnsiTheme="minorHAnsi" w:cstheme="minorHAnsi"/>
          <w:b/>
          <w:bCs/>
          <w:sz w:val="24"/>
          <w:szCs w:val="24"/>
        </w:rPr>
        <w:t>400405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>Plaće u prosvjeti-državni proračun</w:t>
      </w:r>
    </w:p>
    <w:p w14:paraId="67F1DA2C" w14:textId="77777777" w:rsidR="00665FB3" w:rsidRPr="003A0E08" w:rsidRDefault="00665FB3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Rashodi za plaće u prosvjeti ostvareni su u iznosu od 3.017.700,34 eura, što je 3,92% više od planiranih sredstava (2.904.000,00 eura). Rashodi za zaposlene iznose 2.965.295,32 eura, što je 4,71% iznad plana, dok su materijalni rashodi manji od planiranih</w:t>
      </w:r>
      <w:r w:rsidR="00035031" w:rsidRPr="003A0E08">
        <w:rPr>
          <w:rFonts w:asciiTheme="minorHAnsi" w:hAnsiTheme="minorHAnsi" w:cstheme="minorHAnsi"/>
          <w:sz w:val="24"/>
          <w:szCs w:val="24"/>
        </w:rPr>
        <w:t xml:space="preserve">. </w:t>
      </w:r>
      <w:r w:rsidRPr="003A0E08">
        <w:rPr>
          <w:rFonts w:asciiTheme="minorHAnsi" w:hAnsiTheme="minorHAnsi" w:cstheme="minorHAnsi"/>
          <w:sz w:val="24"/>
          <w:szCs w:val="24"/>
        </w:rPr>
        <w:t>Ukupno, rashodi su realizirani u skladu s planom, uz povećanje u plaćama zaposlenih.</w:t>
      </w:r>
    </w:p>
    <w:p w14:paraId="444BA59F" w14:textId="77777777" w:rsidR="00233EE6" w:rsidRPr="003A0E08" w:rsidRDefault="005022FF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Aktivnost A</w:t>
      </w:r>
      <w:r w:rsidR="00957138" w:rsidRPr="003A0E08">
        <w:rPr>
          <w:rFonts w:asciiTheme="minorHAnsi" w:hAnsiTheme="minorHAnsi" w:cstheme="minorHAnsi"/>
          <w:b/>
          <w:bCs/>
          <w:sz w:val="24"/>
          <w:szCs w:val="24"/>
        </w:rPr>
        <w:t>400406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>Školska kuhinja</w:t>
      </w:r>
    </w:p>
    <w:p w14:paraId="251DA439" w14:textId="77777777" w:rsidR="00C6281B" w:rsidRPr="003A0E08" w:rsidRDefault="00233EE6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Rashodi su ostvareni u iznosu od 150.355,25 eura, što je 13,59% manje od planiranih sredstava (174.000,00 eura). Rashodi iz Izvora 5 – tekuće pomoći za školstvo iznose 147.386,02 eura, dok su rashodi iz Izvora 4 – prihodi za posebne namjene blago premašili plan (2.969,23 eura). </w:t>
      </w:r>
    </w:p>
    <w:p w14:paraId="7D31E1EA" w14:textId="77777777" w:rsidR="006C2491" w:rsidRPr="003A0E08" w:rsidRDefault="00830A0E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Aktivnost A</w:t>
      </w:r>
      <w:r w:rsidR="006C2491" w:rsidRPr="003A0E08">
        <w:rPr>
          <w:rFonts w:asciiTheme="minorHAnsi" w:hAnsiTheme="minorHAnsi" w:cstheme="minorHAnsi"/>
          <w:b/>
          <w:bCs/>
          <w:sz w:val="24"/>
          <w:szCs w:val="24"/>
        </w:rPr>
        <w:t>400407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>Gradska sportska dvorana</w:t>
      </w:r>
    </w:p>
    <w:p w14:paraId="7DB4CB96" w14:textId="77777777" w:rsidR="00EA7E20" w:rsidRPr="003A0E08" w:rsidRDefault="006C2491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Gradska sportska dvorana </w:t>
      </w:r>
      <w:r w:rsidR="00830A0E" w:rsidRPr="003A0E08">
        <w:rPr>
          <w:rFonts w:asciiTheme="minorHAnsi" w:hAnsiTheme="minorHAnsi" w:cstheme="minorHAnsi"/>
          <w:sz w:val="24"/>
          <w:szCs w:val="24"/>
        </w:rPr>
        <w:t>ima vlastite prihod</w:t>
      </w:r>
      <w:r w:rsidR="00AE6565" w:rsidRPr="003A0E08">
        <w:rPr>
          <w:rFonts w:asciiTheme="minorHAnsi" w:hAnsiTheme="minorHAnsi" w:cstheme="minorHAnsi"/>
          <w:sz w:val="24"/>
          <w:szCs w:val="24"/>
        </w:rPr>
        <w:t>e</w:t>
      </w:r>
      <w:r w:rsidR="00830A0E" w:rsidRPr="003A0E08">
        <w:rPr>
          <w:rFonts w:asciiTheme="minorHAnsi" w:hAnsiTheme="minorHAnsi" w:cstheme="minorHAnsi"/>
          <w:sz w:val="24"/>
          <w:szCs w:val="24"/>
        </w:rPr>
        <w:t xml:space="preserve"> od naplate najma dvorane za rekreativce koji se namjenski troše za održavanje dvorane</w:t>
      </w:r>
      <w:r w:rsidR="00A12908" w:rsidRPr="003A0E08">
        <w:rPr>
          <w:rFonts w:asciiTheme="minorHAnsi" w:hAnsiTheme="minorHAnsi" w:cstheme="minorHAnsi"/>
          <w:sz w:val="24"/>
          <w:szCs w:val="24"/>
        </w:rPr>
        <w:t>.</w:t>
      </w:r>
    </w:p>
    <w:p w14:paraId="1BF323D1" w14:textId="77777777" w:rsidR="00000A65" w:rsidRPr="003A0E08" w:rsidRDefault="006C2491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Rashodi su ostvareni u iznosu od 14.337,18 eura, što je manje od planiranih sredstava (17.000,00 eura). Sredstva iz Izvora 3 – vlastiti prihodi škole iskorištena su uglavnom za materijalne rashode, održavanje i sitni inventar. Ukupno, rashodi su realizirani u skladu s potrebama, uz manja odstupanja u odnosu na plan.</w:t>
      </w:r>
    </w:p>
    <w:p w14:paraId="59B1D92C" w14:textId="77777777" w:rsidR="00721AC3" w:rsidRPr="003A0E08" w:rsidRDefault="00D22B5A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Aktivnost A</w:t>
      </w:r>
      <w:r w:rsidR="00721AC3" w:rsidRPr="003A0E08">
        <w:rPr>
          <w:rFonts w:asciiTheme="minorHAnsi" w:hAnsiTheme="minorHAnsi" w:cstheme="minorHAnsi"/>
          <w:b/>
          <w:bCs/>
          <w:sz w:val="24"/>
          <w:szCs w:val="24"/>
        </w:rPr>
        <w:t>400408</w:t>
      </w:r>
      <w:r w:rsidR="00973C61" w:rsidRPr="003A0E08">
        <w:rPr>
          <w:rFonts w:asciiTheme="minorHAnsi" w:hAnsiTheme="minorHAnsi" w:cstheme="minorHAnsi"/>
          <w:b/>
          <w:bCs/>
          <w:sz w:val="24"/>
          <w:szCs w:val="24"/>
        </w:rPr>
        <w:t>Sufinanciranje prijevoza TUR</w:t>
      </w:r>
    </w:p>
    <w:p w14:paraId="16E55B6E" w14:textId="5626E607" w:rsidR="00000A65" w:rsidRPr="003A0E08" w:rsidRDefault="00721AC3" w:rsidP="003A0E08">
      <w:pPr>
        <w:spacing w:line="360" w:lineRule="auto"/>
        <w:jc w:val="both"/>
        <w:rPr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Iz </w:t>
      </w:r>
      <w:r w:rsidR="005C6B8D" w:rsidRPr="003A0E08">
        <w:rPr>
          <w:rFonts w:asciiTheme="minorHAnsi" w:hAnsiTheme="minorHAnsi" w:cstheme="minorHAnsi"/>
          <w:sz w:val="24"/>
          <w:szCs w:val="24"/>
        </w:rPr>
        <w:t xml:space="preserve">izvora </w:t>
      </w:r>
      <w:r w:rsidR="00492844" w:rsidRPr="003A0E08">
        <w:rPr>
          <w:rFonts w:asciiTheme="minorHAnsi" w:hAnsiTheme="minorHAnsi" w:cstheme="minorHAnsi"/>
          <w:sz w:val="24"/>
          <w:szCs w:val="24"/>
        </w:rPr>
        <w:t xml:space="preserve">5. 7. </w:t>
      </w:r>
      <w:r w:rsidR="005C6B8D" w:rsidRPr="003A0E08">
        <w:rPr>
          <w:rFonts w:asciiTheme="minorHAnsi" w:hAnsiTheme="minorHAnsi" w:cstheme="minorHAnsi"/>
          <w:sz w:val="24"/>
          <w:szCs w:val="24"/>
        </w:rPr>
        <w:t>tekuć</w:t>
      </w:r>
      <w:r w:rsidR="00492844" w:rsidRPr="003A0E08">
        <w:rPr>
          <w:rFonts w:asciiTheme="minorHAnsi" w:hAnsiTheme="minorHAnsi" w:cstheme="minorHAnsi"/>
          <w:sz w:val="24"/>
          <w:szCs w:val="24"/>
        </w:rPr>
        <w:t>e</w:t>
      </w:r>
      <w:r w:rsidR="005C6B8D" w:rsidRPr="003A0E08">
        <w:rPr>
          <w:rFonts w:asciiTheme="minorHAnsi" w:hAnsiTheme="minorHAnsi" w:cstheme="minorHAnsi"/>
          <w:sz w:val="24"/>
          <w:szCs w:val="24"/>
        </w:rPr>
        <w:t xml:space="preserve"> pomoći proračunskom korisniku</w:t>
      </w:r>
      <w:r w:rsidR="00983A93">
        <w:rPr>
          <w:rFonts w:asciiTheme="minorHAnsi" w:hAnsiTheme="minorHAnsi" w:cstheme="minorHAnsi"/>
          <w:sz w:val="24"/>
          <w:szCs w:val="24"/>
        </w:rPr>
        <w:t xml:space="preserve"> </w:t>
      </w:r>
      <w:r w:rsidR="005C6B8D" w:rsidRPr="003A0E08">
        <w:rPr>
          <w:rFonts w:asciiTheme="minorHAnsi" w:hAnsiTheme="minorHAnsi" w:cstheme="minorHAnsi"/>
          <w:sz w:val="24"/>
          <w:szCs w:val="24"/>
        </w:rPr>
        <w:t>MZO</w:t>
      </w:r>
      <w:r w:rsidR="00000A65" w:rsidRPr="003A0E08">
        <w:rPr>
          <w:rFonts w:asciiTheme="minorHAnsi" w:hAnsiTheme="minorHAnsi" w:cstheme="minorHAnsi"/>
          <w:sz w:val="24"/>
          <w:szCs w:val="24"/>
        </w:rPr>
        <w:t>M</w:t>
      </w:r>
      <w:r w:rsidR="005C6B8D" w:rsidRPr="003A0E08">
        <w:rPr>
          <w:rFonts w:asciiTheme="minorHAnsi" w:hAnsiTheme="minorHAnsi" w:cstheme="minorHAnsi"/>
          <w:sz w:val="24"/>
          <w:szCs w:val="24"/>
        </w:rPr>
        <w:t xml:space="preserve"> doznačava sredstva za prijevoz učenika s teškoćama, koji se isplaćuju na račun roditelja, te posebna nastavna sredstva i pomagala za školovanje učenika s teškoćama. Rashodi su</w:t>
      </w:r>
      <w:r w:rsidR="00983A93">
        <w:rPr>
          <w:rFonts w:asciiTheme="minorHAnsi" w:hAnsiTheme="minorHAnsi" w:cstheme="minorHAnsi"/>
          <w:sz w:val="24"/>
          <w:szCs w:val="24"/>
        </w:rPr>
        <w:t xml:space="preserve"> </w:t>
      </w:r>
      <w:r w:rsidR="00492844" w:rsidRPr="003A0E08">
        <w:rPr>
          <w:rFonts w:asciiTheme="minorHAnsi" w:hAnsiTheme="minorHAnsi" w:cstheme="minorHAnsi"/>
          <w:sz w:val="24"/>
          <w:szCs w:val="24"/>
        </w:rPr>
        <w:t>ostvareni u iznosu od 13.806,74 eura, što je 2,58% više od planiranih sredstava (13.460,00 eura).</w:t>
      </w:r>
    </w:p>
    <w:p w14:paraId="77F15AC2" w14:textId="77777777" w:rsidR="00497FC9" w:rsidRPr="003A0E08" w:rsidRDefault="00D10EC0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Tekući projekt T</w:t>
      </w:r>
      <w:r w:rsidR="00497FC9" w:rsidRPr="003A0E08">
        <w:rPr>
          <w:rFonts w:asciiTheme="minorHAnsi" w:hAnsiTheme="minorHAnsi" w:cstheme="minorHAnsi"/>
          <w:b/>
          <w:bCs/>
          <w:sz w:val="24"/>
          <w:szCs w:val="24"/>
        </w:rPr>
        <w:t>400403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>Redovna djelatnost škole izvan standarda</w:t>
      </w:r>
    </w:p>
    <w:p w14:paraId="0133AF7A" w14:textId="2D5388C4" w:rsidR="00EA7E20" w:rsidRPr="003A0E08" w:rsidRDefault="00D10EC0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Grad Gospić doznačava sredstva na račun škole za naknadu članovima školskog odbora iz izvora 1., prihodi od poreza. Vlastiti prihodi OŠ Gospić su utrošeni za potrebe redovnog poslovanja</w:t>
      </w:r>
      <w:r w:rsidR="00020048" w:rsidRPr="003A0E08">
        <w:rPr>
          <w:rFonts w:asciiTheme="minorHAnsi" w:hAnsiTheme="minorHAnsi" w:cstheme="minorHAnsi"/>
          <w:sz w:val="24"/>
          <w:szCs w:val="24"/>
        </w:rPr>
        <w:t>.</w:t>
      </w:r>
      <w:r w:rsidR="00983A93">
        <w:rPr>
          <w:rFonts w:asciiTheme="minorHAnsi" w:hAnsiTheme="minorHAnsi" w:cstheme="minorHAnsi"/>
          <w:sz w:val="24"/>
          <w:szCs w:val="24"/>
        </w:rPr>
        <w:t xml:space="preserve"> </w:t>
      </w:r>
      <w:r w:rsidR="000B3E34" w:rsidRPr="003A0E08">
        <w:rPr>
          <w:rFonts w:asciiTheme="minorHAnsi" w:hAnsiTheme="minorHAnsi" w:cstheme="minorHAnsi"/>
          <w:sz w:val="24"/>
          <w:szCs w:val="24"/>
        </w:rPr>
        <w:t>U tekućem projektu redovne djelatnosti škole izvan standarda su vidljivi rashodi učeničke zadruge „Vodarica Marta“ koja se financira iz vlastitih sredstava</w:t>
      </w:r>
      <w:r w:rsidR="00497FC9" w:rsidRPr="003A0E08">
        <w:rPr>
          <w:rFonts w:asciiTheme="minorHAnsi" w:hAnsiTheme="minorHAnsi" w:cstheme="minorHAnsi"/>
          <w:sz w:val="24"/>
          <w:szCs w:val="24"/>
        </w:rPr>
        <w:t>.</w:t>
      </w:r>
    </w:p>
    <w:p w14:paraId="36DF9D7C" w14:textId="77777777" w:rsidR="00AF5A37" w:rsidRPr="003A0E08" w:rsidRDefault="00435A2A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Tekući projekt T</w:t>
      </w:r>
      <w:r w:rsidR="00AF5A37" w:rsidRPr="003A0E08">
        <w:rPr>
          <w:rFonts w:asciiTheme="minorHAnsi" w:hAnsiTheme="minorHAnsi" w:cstheme="minorHAnsi"/>
          <w:b/>
          <w:bCs/>
          <w:sz w:val="24"/>
          <w:szCs w:val="24"/>
        </w:rPr>
        <w:t>400404</w:t>
      </w:r>
      <w:r w:rsidR="00962178" w:rsidRPr="003A0E08">
        <w:rPr>
          <w:rFonts w:asciiTheme="minorHAnsi" w:hAnsiTheme="minorHAnsi" w:cstheme="minorHAnsi"/>
          <w:b/>
          <w:bCs/>
          <w:sz w:val="24"/>
          <w:szCs w:val="24"/>
        </w:rPr>
        <w:t>Ostale aktivnosti i projekti (vannastavni)</w:t>
      </w:r>
    </w:p>
    <w:p w14:paraId="3BA9606F" w14:textId="78B28218" w:rsidR="002A4DAB" w:rsidRPr="003A0E08" w:rsidRDefault="00962178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Grad Gospić doznačava sredstva za prog</w:t>
      </w:r>
      <w:r w:rsidR="00EA7E20" w:rsidRPr="003A0E08">
        <w:rPr>
          <w:rFonts w:asciiTheme="minorHAnsi" w:hAnsiTheme="minorHAnsi" w:cstheme="minorHAnsi"/>
          <w:sz w:val="24"/>
          <w:szCs w:val="24"/>
        </w:rPr>
        <w:t>r</w:t>
      </w:r>
      <w:r w:rsidRPr="003A0E08">
        <w:rPr>
          <w:rFonts w:asciiTheme="minorHAnsi" w:hAnsiTheme="minorHAnsi" w:cstheme="minorHAnsi"/>
          <w:sz w:val="24"/>
          <w:szCs w:val="24"/>
        </w:rPr>
        <w:t>am javnih potreba, nastava u prirodi te članarinu EKO školi</w:t>
      </w:r>
      <w:r w:rsidR="00AF24B3" w:rsidRPr="003A0E08">
        <w:rPr>
          <w:rFonts w:asciiTheme="minorHAnsi" w:hAnsiTheme="minorHAnsi" w:cstheme="minorHAnsi"/>
          <w:sz w:val="24"/>
          <w:szCs w:val="24"/>
        </w:rPr>
        <w:t>.</w:t>
      </w:r>
      <w:r w:rsidR="00983A93">
        <w:rPr>
          <w:rFonts w:asciiTheme="minorHAnsi" w:hAnsiTheme="minorHAnsi" w:cstheme="minorHAnsi"/>
          <w:sz w:val="24"/>
          <w:szCs w:val="24"/>
        </w:rPr>
        <w:t xml:space="preserve"> </w:t>
      </w:r>
      <w:r w:rsidR="0056770E" w:rsidRPr="003A0E08">
        <w:rPr>
          <w:rFonts w:asciiTheme="minorHAnsi" w:hAnsiTheme="minorHAnsi" w:cstheme="minorHAnsi"/>
          <w:sz w:val="24"/>
          <w:szCs w:val="24"/>
        </w:rPr>
        <w:t>Rashodi Županijskih stručni vijeća su uvećani iz razloga provedbe županijskih stručnih skupova</w:t>
      </w:r>
      <w:r w:rsidR="00563DC8" w:rsidRPr="003A0E08">
        <w:rPr>
          <w:rFonts w:asciiTheme="minorHAnsi" w:hAnsiTheme="minorHAnsi" w:cstheme="minorHAnsi"/>
          <w:sz w:val="24"/>
          <w:szCs w:val="24"/>
        </w:rPr>
        <w:t xml:space="preserve"> i tekuće donacije za higijenske potrepštine učenicama osnovne škole</w:t>
      </w:r>
      <w:r w:rsidR="0015205C" w:rsidRPr="003A0E08">
        <w:rPr>
          <w:rFonts w:asciiTheme="minorHAnsi" w:hAnsiTheme="minorHAnsi" w:cstheme="minorHAnsi"/>
          <w:sz w:val="24"/>
          <w:szCs w:val="24"/>
        </w:rPr>
        <w:t>.</w:t>
      </w:r>
    </w:p>
    <w:p w14:paraId="6BE56514" w14:textId="77777777" w:rsidR="002C1BA8" w:rsidRPr="003A0E08" w:rsidRDefault="00AE30DC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Tekući projekt T400405Udžbenici</w:t>
      </w:r>
    </w:p>
    <w:p w14:paraId="5A63998A" w14:textId="77777777" w:rsidR="002C1BA8" w:rsidRPr="003A0E08" w:rsidRDefault="00AE30DC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lastRenderedPageBreak/>
        <w:t>U 202</w:t>
      </w:r>
      <w:r w:rsidR="002A4DAB" w:rsidRPr="003A0E08">
        <w:rPr>
          <w:rFonts w:asciiTheme="minorHAnsi" w:hAnsiTheme="minorHAnsi" w:cstheme="minorHAnsi"/>
          <w:sz w:val="24"/>
          <w:szCs w:val="24"/>
        </w:rPr>
        <w:t>5</w:t>
      </w:r>
      <w:r w:rsidRPr="003A0E08">
        <w:rPr>
          <w:rFonts w:asciiTheme="minorHAnsi" w:hAnsiTheme="minorHAnsi" w:cstheme="minorHAnsi"/>
          <w:sz w:val="24"/>
          <w:szCs w:val="24"/>
        </w:rPr>
        <w:t>.</w:t>
      </w:r>
      <w:r w:rsidR="002A4DAB" w:rsidRPr="003A0E08">
        <w:rPr>
          <w:rFonts w:asciiTheme="minorHAnsi" w:hAnsiTheme="minorHAnsi" w:cstheme="minorHAnsi"/>
          <w:sz w:val="24"/>
          <w:szCs w:val="24"/>
        </w:rPr>
        <w:t xml:space="preserve"> godini rashodi projekta Udžbenici ostvareni su u iznosu od 56.898,23 eura, što je više od planiranih sredstava (50.000,00 eura). Sredstva iz Izvora 5 – tekuće pomoći iskorištena su u cijelosti za nabavu udžbenika za učenike. </w:t>
      </w:r>
    </w:p>
    <w:p w14:paraId="3A0624EA" w14:textId="77777777" w:rsidR="002A4DAB" w:rsidRPr="003A0E08" w:rsidRDefault="0056770E" w:rsidP="003A0E0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Tekući projekt T</w:t>
      </w:r>
      <w:r w:rsidR="0088246E" w:rsidRPr="003A0E08">
        <w:rPr>
          <w:rFonts w:asciiTheme="minorHAnsi" w:hAnsiTheme="minorHAnsi" w:cstheme="minorHAnsi"/>
          <w:b/>
          <w:bCs/>
          <w:sz w:val="24"/>
          <w:szCs w:val="24"/>
        </w:rPr>
        <w:t>400406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 xml:space="preserve"> Korak prema jednakosti </w:t>
      </w:r>
    </w:p>
    <w:p w14:paraId="18C3006C" w14:textId="77777777" w:rsidR="009502E9" w:rsidRPr="003A0E08" w:rsidRDefault="007E69B0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U projektu „Korak prema jednakosti“ za školsku godinu </w:t>
      </w:r>
      <w:r w:rsidR="001E79F8" w:rsidRPr="003A0E08">
        <w:rPr>
          <w:rFonts w:asciiTheme="minorHAnsi" w:hAnsiTheme="minorHAnsi" w:cstheme="minorHAnsi"/>
          <w:sz w:val="24"/>
          <w:szCs w:val="24"/>
        </w:rPr>
        <w:t>2025./2026</w:t>
      </w:r>
      <w:r w:rsidRPr="003A0E08">
        <w:rPr>
          <w:rFonts w:asciiTheme="minorHAnsi" w:hAnsiTheme="minorHAnsi" w:cstheme="minorHAnsi"/>
          <w:sz w:val="24"/>
          <w:szCs w:val="24"/>
        </w:rPr>
        <w:t>. zaposleno je 1</w:t>
      </w:r>
      <w:r w:rsidR="002F726F" w:rsidRPr="003A0E08">
        <w:rPr>
          <w:rFonts w:asciiTheme="minorHAnsi" w:hAnsiTheme="minorHAnsi" w:cstheme="minorHAnsi"/>
          <w:sz w:val="24"/>
          <w:szCs w:val="24"/>
        </w:rPr>
        <w:t>4</w:t>
      </w:r>
      <w:r w:rsidRPr="003A0E08">
        <w:rPr>
          <w:rFonts w:asciiTheme="minorHAnsi" w:hAnsiTheme="minorHAnsi" w:cstheme="minorHAnsi"/>
          <w:sz w:val="24"/>
          <w:szCs w:val="24"/>
        </w:rPr>
        <w:t xml:space="preserve"> pomoćnika u nastavi koji pružaju stručnu pomoć u radu učenika s teškoćama u razvoju</w:t>
      </w:r>
      <w:r w:rsidR="001E79F8" w:rsidRPr="003A0E08">
        <w:rPr>
          <w:rFonts w:asciiTheme="minorHAnsi" w:hAnsiTheme="minorHAnsi" w:cstheme="minorHAnsi"/>
          <w:sz w:val="24"/>
          <w:szCs w:val="24"/>
        </w:rPr>
        <w:t>.</w:t>
      </w:r>
    </w:p>
    <w:p w14:paraId="0BF3F9CB" w14:textId="1E1F0BA6" w:rsidR="00747043" w:rsidRPr="003A0E08" w:rsidRDefault="009502E9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Rashodi projekta Korak prema jednakosti ostvareni su u iznosu od 175.199,87 eura, što je nešto manje od ukupnog planiranog iznosa (186.986,00 eura). Rashodi iz Izvora 1 – opći prihodi iznose 27.971,08 eura i ugl</w:t>
      </w:r>
      <w:r w:rsidR="00C6281B" w:rsidRPr="003A0E08">
        <w:rPr>
          <w:rFonts w:asciiTheme="minorHAnsi" w:hAnsiTheme="minorHAnsi" w:cstheme="minorHAnsi"/>
          <w:sz w:val="24"/>
          <w:szCs w:val="24"/>
        </w:rPr>
        <w:t>avnom su iskorišteni za plaće,</w:t>
      </w:r>
      <w:r w:rsidR="00983A93">
        <w:rPr>
          <w:rFonts w:asciiTheme="minorHAnsi" w:hAnsiTheme="minorHAnsi" w:cstheme="minorHAnsi"/>
          <w:sz w:val="24"/>
          <w:szCs w:val="24"/>
        </w:rPr>
        <w:t xml:space="preserve"> </w:t>
      </w:r>
      <w:r w:rsidRPr="003A0E08">
        <w:rPr>
          <w:rFonts w:asciiTheme="minorHAnsi" w:hAnsiTheme="minorHAnsi" w:cstheme="minorHAnsi"/>
          <w:sz w:val="24"/>
          <w:szCs w:val="24"/>
        </w:rPr>
        <w:t>doprinose</w:t>
      </w:r>
      <w:r w:rsidR="00C6281B" w:rsidRPr="003A0E08">
        <w:rPr>
          <w:rFonts w:asciiTheme="minorHAnsi" w:hAnsiTheme="minorHAnsi" w:cstheme="minorHAnsi"/>
          <w:sz w:val="24"/>
          <w:szCs w:val="24"/>
        </w:rPr>
        <w:t xml:space="preserve"> i materijalna prava zaposlenih. </w:t>
      </w:r>
      <w:r w:rsidRPr="003A0E08">
        <w:rPr>
          <w:rFonts w:asciiTheme="minorHAnsi" w:hAnsiTheme="minorHAnsi" w:cstheme="minorHAnsi"/>
          <w:sz w:val="24"/>
          <w:szCs w:val="24"/>
        </w:rPr>
        <w:t>Rashodi iz Izvora 5 – prijenos sredstava EU iznose 147.228,79 eura, pri čemu su plaće zaposlenih 141.434,63 eura, a materijalni rashodi 5.794,16 eura, što je u skladu s planom, uz blago smanjenje ukupnih troškova.</w:t>
      </w:r>
    </w:p>
    <w:p w14:paraId="29C289F5" w14:textId="77777777" w:rsidR="002C1BA8" w:rsidRPr="003A0E08" w:rsidRDefault="00764A4D" w:rsidP="003A0E0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Tekući projekt T</w:t>
      </w:r>
      <w:r w:rsidR="00747043" w:rsidRPr="003A0E08">
        <w:rPr>
          <w:rFonts w:asciiTheme="minorHAnsi" w:hAnsiTheme="minorHAnsi" w:cstheme="minorHAnsi"/>
          <w:b/>
          <w:bCs/>
          <w:sz w:val="24"/>
          <w:szCs w:val="24"/>
        </w:rPr>
        <w:t>400407</w:t>
      </w:r>
      <w:r w:rsidRPr="003A0E08">
        <w:rPr>
          <w:rFonts w:asciiTheme="minorHAnsi" w:hAnsiTheme="minorHAnsi" w:cstheme="minorHAnsi"/>
          <w:b/>
          <w:bCs/>
          <w:sz w:val="24"/>
          <w:szCs w:val="24"/>
        </w:rPr>
        <w:t xml:space="preserve"> Projekt Lički suvenir i Čuvar baštine</w:t>
      </w:r>
    </w:p>
    <w:p w14:paraId="27335219" w14:textId="77777777" w:rsidR="009502E9" w:rsidRPr="003A0E08" w:rsidRDefault="009502E9" w:rsidP="003A0E0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Rashodi projekta Lički suvenir i Čuvar baštine ostvareni su u iznosu od 2.581,43 eura, što je manje od planiranog (1.992,00 eura). Sredstva iz Izvora 5 – prijenos sredstava EU iskorištena su za materijalne rashode i ostale potrebe projekta</w:t>
      </w:r>
      <w:r w:rsidR="00C6281B" w:rsidRPr="003A0E08">
        <w:rPr>
          <w:rFonts w:asciiTheme="minorHAnsi" w:hAnsiTheme="minorHAnsi" w:cstheme="minorHAnsi"/>
          <w:sz w:val="24"/>
          <w:szCs w:val="24"/>
        </w:rPr>
        <w:t>, te za pokriće rashoda nastalih u 2024 godini za koje su prihodi uplaćeni u 2025. godini.</w:t>
      </w:r>
    </w:p>
    <w:p w14:paraId="76E1579B" w14:textId="77777777" w:rsidR="003834F0" w:rsidRPr="003A0E08" w:rsidRDefault="003834F0" w:rsidP="003A0E0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ABCEF" w14:textId="77777777" w:rsidR="00C6281B" w:rsidRPr="003A0E08" w:rsidRDefault="00C6281B" w:rsidP="003A0E0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EFEC1" w14:textId="77777777" w:rsidR="003834F0" w:rsidRPr="003A0E08" w:rsidRDefault="003834F0" w:rsidP="003A0E0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A0E08">
        <w:rPr>
          <w:rFonts w:asciiTheme="minorHAnsi" w:hAnsiTheme="minorHAnsi" w:cstheme="minorHAnsi"/>
          <w:b/>
          <w:bCs/>
          <w:sz w:val="24"/>
          <w:szCs w:val="24"/>
        </w:rPr>
        <w:t>Tekući projekt T</w:t>
      </w:r>
      <w:r w:rsidR="00747043" w:rsidRPr="003A0E08">
        <w:rPr>
          <w:rFonts w:asciiTheme="minorHAnsi" w:hAnsiTheme="minorHAnsi" w:cstheme="minorHAnsi"/>
          <w:b/>
          <w:bCs/>
          <w:sz w:val="24"/>
          <w:szCs w:val="24"/>
        </w:rPr>
        <w:t xml:space="preserve">400409 Tekući projekt: Zamjena parketa u školskoj </w:t>
      </w:r>
      <w:r w:rsidR="00547063" w:rsidRPr="003A0E08">
        <w:rPr>
          <w:rFonts w:asciiTheme="minorHAnsi" w:hAnsiTheme="minorHAnsi" w:cstheme="minorHAnsi"/>
          <w:b/>
          <w:bCs/>
          <w:sz w:val="24"/>
          <w:szCs w:val="24"/>
        </w:rPr>
        <w:t xml:space="preserve">sportskoj dvorani </w:t>
      </w:r>
    </w:p>
    <w:p w14:paraId="64601B76" w14:textId="77777777" w:rsidR="003834F0" w:rsidRPr="003A0E08" w:rsidRDefault="003834F0" w:rsidP="003A0E0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0A66B1" w14:textId="77777777" w:rsidR="003834F0" w:rsidRPr="003A0E08" w:rsidRDefault="008E0375" w:rsidP="003A0E0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>Rashodi projekta Zamjena parketa u školskoj sportskoj dvorani djelomično su realizirani u 2025. godini. O</w:t>
      </w:r>
      <w:r w:rsidR="00C6281B" w:rsidRPr="003A0E08">
        <w:rPr>
          <w:rFonts w:asciiTheme="minorHAnsi" w:hAnsiTheme="minorHAnsi" w:cstheme="minorHAnsi"/>
          <w:sz w:val="24"/>
          <w:szCs w:val="24"/>
        </w:rPr>
        <w:t>d planiranih 120.000,00 eura izvršeno</w:t>
      </w:r>
      <w:r w:rsidRPr="003A0E08">
        <w:rPr>
          <w:rFonts w:asciiTheme="minorHAnsi" w:hAnsiTheme="minorHAnsi" w:cstheme="minorHAnsi"/>
          <w:sz w:val="24"/>
          <w:szCs w:val="24"/>
        </w:rPr>
        <w:t xml:space="preserve"> je </w:t>
      </w:r>
      <w:r w:rsidR="0063193F" w:rsidRPr="003A0E08">
        <w:rPr>
          <w:rFonts w:asciiTheme="minorHAnsi" w:hAnsiTheme="minorHAnsi" w:cstheme="minorHAnsi"/>
          <w:sz w:val="24"/>
          <w:szCs w:val="24"/>
        </w:rPr>
        <w:t>56.668,75</w:t>
      </w:r>
      <w:r w:rsidRPr="003A0E08">
        <w:rPr>
          <w:rFonts w:asciiTheme="minorHAnsi" w:hAnsiTheme="minorHAnsi" w:cstheme="minorHAnsi"/>
          <w:sz w:val="24"/>
          <w:szCs w:val="24"/>
        </w:rPr>
        <w:t xml:space="preserve"> eura</w:t>
      </w:r>
      <w:r w:rsidR="0063193F" w:rsidRPr="003A0E08">
        <w:rPr>
          <w:rFonts w:asciiTheme="minorHAnsi" w:hAnsiTheme="minorHAnsi" w:cstheme="minorHAnsi"/>
          <w:sz w:val="24"/>
          <w:szCs w:val="24"/>
        </w:rPr>
        <w:t>.</w:t>
      </w:r>
      <w:r w:rsidR="00C6281B" w:rsidRPr="003A0E08">
        <w:rPr>
          <w:rFonts w:asciiTheme="minorHAnsi" w:hAnsiTheme="minorHAnsi" w:cstheme="minorHAnsi"/>
          <w:sz w:val="24"/>
          <w:szCs w:val="24"/>
        </w:rPr>
        <w:t>, od čega je 56.000,00 eura financirano iz sredstava pomoći iz državnog proračuna, sukladno Ugovoru Osnivača (koji je i nositelj projekta) s Ministarstvom regionalnog razvoja i fondova EU dok je osnivač financirao 668,75 eura. Projekt se nastavlja i prenosi u 2026. godinu u kojoj će biti okončan.</w:t>
      </w:r>
    </w:p>
    <w:p w14:paraId="6812728F" w14:textId="77777777" w:rsidR="00C6281B" w:rsidRPr="003A0E08" w:rsidRDefault="00C6281B" w:rsidP="003A0E0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C1C51F" w14:textId="77777777" w:rsidR="00C84DF6" w:rsidRDefault="00C84DF6" w:rsidP="00C84DF6">
      <w:pPr>
        <w:pStyle w:val="Naslov3"/>
        <w:jc w:val="center"/>
      </w:pPr>
    </w:p>
    <w:p w14:paraId="72B402B0" w14:textId="77777777" w:rsidR="003A0E08" w:rsidRDefault="003A0E08" w:rsidP="003A0E08"/>
    <w:p w14:paraId="7ED7FE43" w14:textId="77777777" w:rsidR="003A0E08" w:rsidRDefault="003A0E08" w:rsidP="003A0E08"/>
    <w:p w14:paraId="719648BD" w14:textId="77777777" w:rsidR="00983A93" w:rsidRDefault="00983A93" w:rsidP="003A0E08"/>
    <w:p w14:paraId="74A30C1E" w14:textId="77777777" w:rsidR="00983A93" w:rsidRDefault="00983A93" w:rsidP="003A0E08"/>
    <w:p w14:paraId="3F4258EF" w14:textId="77777777" w:rsidR="003A0E08" w:rsidRPr="003A0E08" w:rsidRDefault="003A0E08" w:rsidP="003A0E08"/>
    <w:p w14:paraId="6F5AA7C1" w14:textId="77777777" w:rsidR="004F5ACA" w:rsidRPr="00C6281B" w:rsidRDefault="00C6281B" w:rsidP="00C84DF6">
      <w:pPr>
        <w:pStyle w:val="Naslov3"/>
        <w:jc w:val="center"/>
      </w:pPr>
      <w:bookmarkStart w:id="16" w:name="_Toc225494591"/>
      <w:r w:rsidRPr="00C6281B">
        <w:lastRenderedPageBreak/>
        <w:t>Posebni izvještaji</w:t>
      </w:r>
      <w:bookmarkEnd w:id="16"/>
    </w:p>
    <w:p w14:paraId="03E29CA4" w14:textId="77777777" w:rsidR="00C6281B" w:rsidRDefault="00C6281B" w:rsidP="008E037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9FE711" w14:textId="77777777" w:rsidR="00C6281B" w:rsidRPr="00C6281B" w:rsidRDefault="00C6281B" w:rsidP="00C628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81B">
        <w:rPr>
          <w:rFonts w:asciiTheme="minorHAnsi" w:hAnsiTheme="minorHAnsi" w:cstheme="minorHAnsi"/>
          <w:sz w:val="24"/>
          <w:szCs w:val="24"/>
        </w:rPr>
        <w:t>Za izvještajno razdoblje 2025.</w:t>
      </w:r>
      <w:r w:rsidR="00E35835">
        <w:rPr>
          <w:rFonts w:asciiTheme="minorHAnsi" w:hAnsiTheme="minorHAnsi" w:cstheme="minorHAnsi"/>
          <w:sz w:val="24"/>
          <w:szCs w:val="24"/>
        </w:rPr>
        <w:t xml:space="preserve"> </w:t>
      </w:r>
      <w:r w:rsidRPr="00C6281B">
        <w:rPr>
          <w:rFonts w:asciiTheme="minorHAnsi" w:hAnsiTheme="minorHAnsi" w:cstheme="minorHAnsi"/>
          <w:sz w:val="24"/>
          <w:szCs w:val="24"/>
        </w:rPr>
        <w:t>godine nije evidentirano izvršenje po osnovi sljedećih posebnih izvještaja:</w:t>
      </w:r>
    </w:p>
    <w:p w14:paraId="3C704673" w14:textId="77777777" w:rsidR="00C6281B" w:rsidRPr="00C6281B" w:rsidRDefault="00C6281B" w:rsidP="00C6281B">
      <w:pPr>
        <w:pStyle w:val="Odlomakpopisa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81B">
        <w:rPr>
          <w:rFonts w:asciiTheme="minorHAnsi" w:hAnsiTheme="minorHAnsi" w:cstheme="minorHAnsi"/>
          <w:sz w:val="24"/>
          <w:szCs w:val="24"/>
        </w:rPr>
        <w:t>Izvještaj o zaduživanju na domaćem i stranom tržištu</w:t>
      </w:r>
    </w:p>
    <w:p w14:paraId="3A4B8A5C" w14:textId="77777777" w:rsidR="00C6281B" w:rsidRPr="00C6281B" w:rsidRDefault="00C6281B" w:rsidP="00C6281B">
      <w:pPr>
        <w:pStyle w:val="Odlomakpopisa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81B">
        <w:rPr>
          <w:rFonts w:asciiTheme="minorHAnsi" w:hAnsiTheme="minorHAnsi" w:cstheme="minorHAnsi"/>
          <w:sz w:val="24"/>
          <w:szCs w:val="24"/>
        </w:rPr>
        <w:t>Izvještaj o danim zajmovima i potraživanjima po danim zajmovima</w:t>
      </w:r>
    </w:p>
    <w:p w14:paraId="7F07CA6D" w14:textId="77777777" w:rsidR="00C6281B" w:rsidRPr="00C6281B" w:rsidRDefault="00C6281B" w:rsidP="00C6281B">
      <w:pPr>
        <w:pStyle w:val="Odlomakpopisa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81B">
        <w:rPr>
          <w:rFonts w:asciiTheme="minorHAnsi" w:hAnsiTheme="minorHAnsi" w:cstheme="minorHAnsi"/>
          <w:sz w:val="24"/>
          <w:szCs w:val="24"/>
        </w:rPr>
        <w:t>Izvještaj o danim jamstvima i plaćanjima po protestiranim jamstvima</w:t>
      </w:r>
    </w:p>
    <w:p w14:paraId="68EDC416" w14:textId="77777777" w:rsidR="00C6281B" w:rsidRPr="00C6281B" w:rsidRDefault="00C6281B" w:rsidP="00C628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281B">
        <w:rPr>
          <w:rFonts w:asciiTheme="minorHAnsi" w:hAnsiTheme="minorHAnsi" w:cstheme="minorHAnsi"/>
          <w:sz w:val="24"/>
          <w:szCs w:val="24"/>
        </w:rPr>
        <w:t>Sukladno dostupnim podacima, Osnovna škola dr. Jure Turića, Miroslava Kraljevića 15, OIB: 81152039635, nije imala poslovne događaje niti aktivnosti koje bi zahtijevale izradu i iskazivanje predmetnih izvještaja, te se isti za navedeno razdoblje ne sastavljaju.</w:t>
      </w:r>
    </w:p>
    <w:p w14:paraId="04887004" w14:textId="77777777" w:rsidR="00C84DF6" w:rsidRDefault="00C84DF6" w:rsidP="009F605B">
      <w:pPr>
        <w:pStyle w:val="Naslov3"/>
      </w:pPr>
    </w:p>
    <w:p w14:paraId="013DEBC6" w14:textId="77777777" w:rsidR="003A0E08" w:rsidRPr="009F605B" w:rsidRDefault="00C84DF6" w:rsidP="003A0E08">
      <w:pPr>
        <w:pStyle w:val="Naslov3"/>
        <w:jc w:val="center"/>
        <w:rPr>
          <w:sz w:val="24"/>
          <w:szCs w:val="24"/>
        </w:rPr>
      </w:pPr>
      <w:bookmarkStart w:id="17" w:name="_Toc225494592"/>
      <w:r w:rsidRPr="009F605B">
        <w:rPr>
          <w:sz w:val="24"/>
          <w:szCs w:val="24"/>
        </w:rPr>
        <w:t>Izvještaj o stanju potraživanja i dospjelih obveza te o stanju potencijalnih obveza</w:t>
      </w:r>
    </w:p>
    <w:p w14:paraId="3F8AC5C0" w14:textId="77777777" w:rsidR="00C84DF6" w:rsidRPr="009F605B" w:rsidRDefault="00C84DF6" w:rsidP="003A0E08">
      <w:pPr>
        <w:pStyle w:val="Naslov3"/>
        <w:jc w:val="center"/>
        <w:rPr>
          <w:sz w:val="24"/>
          <w:szCs w:val="24"/>
        </w:rPr>
      </w:pPr>
      <w:r w:rsidRPr="009F605B">
        <w:rPr>
          <w:sz w:val="24"/>
          <w:szCs w:val="24"/>
        </w:rPr>
        <w:t>po osnovi sudskih sporova</w:t>
      </w:r>
      <w:bookmarkEnd w:id="17"/>
    </w:p>
    <w:p w14:paraId="49D120C8" w14:textId="77777777" w:rsidR="00C84DF6" w:rsidRPr="00C84DF6" w:rsidRDefault="00C84DF6" w:rsidP="003A0E08">
      <w:pPr>
        <w:jc w:val="center"/>
      </w:pPr>
    </w:p>
    <w:p w14:paraId="76E36947" w14:textId="77777777" w:rsidR="003A0E08" w:rsidRDefault="00C84DF6" w:rsidP="008262B0">
      <w:pPr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0E08">
        <w:rPr>
          <w:rFonts w:asciiTheme="minorHAnsi" w:hAnsiTheme="minorHAnsi" w:cstheme="minorHAnsi"/>
          <w:sz w:val="24"/>
          <w:szCs w:val="24"/>
        </w:rPr>
        <w:t xml:space="preserve">Obveze </w:t>
      </w:r>
      <w:r w:rsidR="003A0E08">
        <w:rPr>
          <w:rFonts w:asciiTheme="minorHAnsi" w:hAnsiTheme="minorHAnsi" w:cstheme="minorHAnsi"/>
          <w:sz w:val="24"/>
          <w:szCs w:val="24"/>
        </w:rPr>
        <w:t xml:space="preserve">i potraživanja </w:t>
      </w:r>
      <w:r w:rsidRPr="003A0E08">
        <w:rPr>
          <w:rFonts w:asciiTheme="minorHAnsi" w:hAnsiTheme="minorHAnsi" w:cstheme="minorHAnsi"/>
          <w:sz w:val="24"/>
          <w:szCs w:val="24"/>
        </w:rPr>
        <w:t>po osnovi sudskih sporova</w:t>
      </w:r>
      <w:r w:rsidR="00985F07">
        <w:rPr>
          <w:rFonts w:asciiTheme="minorHAnsi" w:hAnsiTheme="minorHAnsi" w:cstheme="minorHAnsi"/>
          <w:sz w:val="24"/>
          <w:szCs w:val="24"/>
        </w:rPr>
        <w:t xml:space="preserve"> odnose se na sudski spor za </w:t>
      </w:r>
      <w:r w:rsidR="00985F07" w:rsidRPr="00985F07">
        <w:rPr>
          <w:rFonts w:asciiTheme="minorHAnsi" w:hAnsiTheme="minorHAnsi" w:cstheme="minorHAnsi"/>
          <w:sz w:val="24"/>
          <w:szCs w:val="24"/>
        </w:rPr>
        <w:t> predmet OS u Gospiću, poslovni broj P-278/23 tužitelja OŠ dr. Jure Turića c/a Đurđa Rupčić</w:t>
      </w:r>
      <w:r w:rsidR="00985F07">
        <w:rPr>
          <w:rFonts w:asciiTheme="minorHAnsi" w:hAnsiTheme="minorHAnsi" w:cstheme="minorHAnsi"/>
          <w:sz w:val="24"/>
          <w:szCs w:val="24"/>
        </w:rPr>
        <w:t xml:space="preserve">. Radi se o sporu za objekt područne škole u mjestu Rastoka. Vrijednost objekta u glavnoj knjizi </w:t>
      </w:r>
      <w:r w:rsidR="008262B0">
        <w:rPr>
          <w:rFonts w:asciiTheme="minorHAnsi" w:hAnsiTheme="minorHAnsi" w:cstheme="minorHAnsi"/>
          <w:sz w:val="24"/>
          <w:szCs w:val="24"/>
        </w:rPr>
        <w:t>iskazana je 0,00 eura, odnosno vrijednost objekta je potpuno otpisana. Ukoliko se sudski spor riješi u pozitivnom smislu potrebno je ponovno procijeniti vrijednost objekta, pošto je na objektu mjesni odbor vršio dodatna ulaganja.</w:t>
      </w:r>
    </w:p>
    <w:p w14:paraId="0D4AB3B8" w14:textId="77777777" w:rsidR="003A0E08" w:rsidRPr="00C6281B" w:rsidRDefault="003A0E08" w:rsidP="00C628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DD551E" w14:textId="77777777" w:rsidR="004F5ACA" w:rsidRPr="001F602C" w:rsidRDefault="004F5ACA" w:rsidP="003A0E08">
      <w:pPr>
        <w:rPr>
          <w:rFonts w:asciiTheme="minorHAnsi" w:hAnsiTheme="minorHAnsi" w:cstheme="minorHAnsi"/>
          <w:sz w:val="24"/>
          <w:szCs w:val="24"/>
        </w:rPr>
      </w:pPr>
      <w:r w:rsidRPr="001F602C">
        <w:rPr>
          <w:rFonts w:asciiTheme="minorHAnsi" w:hAnsiTheme="minorHAnsi" w:cstheme="minorHAnsi"/>
          <w:sz w:val="24"/>
          <w:szCs w:val="24"/>
        </w:rPr>
        <w:t>Voditelj računovodstva:                                                                                              Ravnatelj:</w:t>
      </w:r>
    </w:p>
    <w:p w14:paraId="17170704" w14:textId="77777777" w:rsidR="004F5ACA" w:rsidRPr="001F602C" w:rsidRDefault="004F5ACA" w:rsidP="003A0E08">
      <w:pPr>
        <w:rPr>
          <w:rFonts w:asciiTheme="minorHAnsi" w:hAnsiTheme="minorHAnsi" w:cstheme="minorHAnsi"/>
          <w:sz w:val="24"/>
          <w:szCs w:val="24"/>
        </w:rPr>
      </w:pPr>
    </w:p>
    <w:p w14:paraId="6974D0E2" w14:textId="77777777" w:rsidR="00CB5115" w:rsidRDefault="00547063" w:rsidP="003A0E0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Marica </w:t>
      </w:r>
      <w:proofErr w:type="spellStart"/>
      <w:r>
        <w:rPr>
          <w:rFonts w:asciiTheme="minorHAnsi" w:hAnsiTheme="minorHAnsi" w:cstheme="minorHAnsi"/>
          <w:sz w:val="24"/>
          <w:szCs w:val="24"/>
        </w:rPr>
        <w:t>Pastuović</w:t>
      </w:r>
      <w:proofErr w:type="spellEnd"/>
      <w:r w:rsidR="004F5ACA" w:rsidRPr="001F602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F5ACA" w:rsidRPr="001F602C">
        <w:rPr>
          <w:rFonts w:asciiTheme="minorHAnsi" w:hAnsiTheme="minorHAnsi" w:cstheme="minorHAnsi"/>
          <w:sz w:val="24"/>
          <w:szCs w:val="24"/>
        </w:rPr>
        <w:t>bacc.oec</w:t>
      </w:r>
      <w:proofErr w:type="spellEnd"/>
      <w:r w:rsidR="004F5ACA" w:rsidRPr="001F602C">
        <w:rPr>
          <w:rFonts w:asciiTheme="minorHAnsi" w:hAnsiTheme="minorHAnsi" w:cstheme="minorHAnsi"/>
          <w:sz w:val="24"/>
          <w:szCs w:val="24"/>
        </w:rPr>
        <w:t>.                                                                    Ivica Radošević, dipl.</w:t>
      </w:r>
      <w:r w:rsidR="00F451AF">
        <w:rPr>
          <w:rFonts w:asciiTheme="minorHAnsi" w:hAnsiTheme="minorHAnsi" w:cstheme="minorHAnsi"/>
          <w:sz w:val="24"/>
          <w:szCs w:val="24"/>
        </w:rPr>
        <w:t xml:space="preserve"> </w:t>
      </w:r>
      <w:r w:rsidR="004F5ACA" w:rsidRPr="001F602C">
        <w:rPr>
          <w:rFonts w:asciiTheme="minorHAnsi" w:hAnsiTheme="minorHAnsi" w:cstheme="minorHAnsi"/>
          <w:sz w:val="24"/>
          <w:szCs w:val="24"/>
        </w:rPr>
        <w:t>učitelj</w:t>
      </w:r>
    </w:p>
    <w:p w14:paraId="417E634A" w14:textId="77777777" w:rsidR="003A0E08" w:rsidRDefault="003A0E08" w:rsidP="003A0E0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3EB05" w14:textId="77777777" w:rsidR="003A0E08" w:rsidRPr="001F602C" w:rsidRDefault="003A0E08" w:rsidP="003A0E0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14:paraId="194BF031" w14:textId="77777777" w:rsidR="00640382" w:rsidRPr="001F602C" w:rsidRDefault="00640382" w:rsidP="001F602C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4A4552" w14:textId="77777777" w:rsidR="00640382" w:rsidRPr="001F602C" w:rsidRDefault="00640382" w:rsidP="001F602C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521322" w14:textId="77777777" w:rsidR="00640382" w:rsidRPr="001F602C" w:rsidRDefault="00640382" w:rsidP="001F602C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B4EFF9" w14:textId="77777777" w:rsidR="00640382" w:rsidRPr="001F602C" w:rsidRDefault="00640382" w:rsidP="003A0E08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Predsjedni</w:t>
      </w:r>
      <w:r w:rsidR="00F451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 </w:t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51AF">
        <w:rPr>
          <w:rFonts w:asciiTheme="minorHAnsi" w:hAnsiTheme="minorHAnsi" w:cstheme="minorHAnsi"/>
          <w:color w:val="000000" w:themeColor="text1"/>
          <w:sz w:val="24"/>
          <w:szCs w:val="24"/>
        </w:rPr>
        <w:t>Š</w:t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>kolskog odbora</w:t>
      </w:r>
    </w:p>
    <w:p w14:paraId="1466D729" w14:textId="77777777" w:rsidR="00640382" w:rsidRPr="001F602C" w:rsidRDefault="00640382" w:rsidP="003A0E08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F602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859001C" w14:textId="77777777" w:rsidR="00640382" w:rsidRDefault="00F451AF" w:rsidP="003A0E08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Tomislav Vukelić, dipl. učitelj</w:t>
      </w:r>
    </w:p>
    <w:p w14:paraId="1965FF33" w14:textId="77777777" w:rsidR="003A0E08" w:rsidRDefault="003A0E08" w:rsidP="001F602C">
      <w:pPr>
        <w:spacing w:line="276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FC16E0" w14:textId="77777777" w:rsidR="003A0E08" w:rsidRDefault="003A0E08" w:rsidP="001F602C">
      <w:pPr>
        <w:spacing w:line="276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</w:t>
      </w:r>
      <w:r w:rsidR="00F451AF">
        <w:rPr>
          <w:rFonts w:asciiTheme="minorHAnsi" w:hAnsiTheme="minorHAnsi" w:cstheme="minorHAnsi"/>
          <w:color w:val="000000" w:themeColor="text1"/>
          <w:sz w:val="24"/>
          <w:szCs w:val="24"/>
        </w:rPr>
        <w:t>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</w:t>
      </w:r>
    </w:p>
    <w:p w14:paraId="7A0676EC" w14:textId="77777777" w:rsidR="003A0E08" w:rsidRDefault="003A0E08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650D3D22" w14:textId="77777777" w:rsidR="003A0E08" w:rsidRDefault="003A0E08" w:rsidP="003A0E08">
      <w:pPr>
        <w:pStyle w:val="Naslov3"/>
        <w:spacing w:line="360" w:lineRule="auto"/>
      </w:pPr>
      <w:bookmarkStart w:id="18" w:name="_Toc225494593"/>
      <w:r>
        <w:lastRenderedPageBreak/>
        <w:t>Popis tablica i grafikona:</w:t>
      </w:r>
      <w:bookmarkEnd w:id="18"/>
    </w:p>
    <w:p w14:paraId="47EF35DD" w14:textId="77777777" w:rsidR="003A0E08" w:rsidRDefault="003A0E08" w:rsidP="003A0E08">
      <w:pPr>
        <w:pStyle w:val="Tablicaslika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F24A6F" w14:textId="77777777" w:rsidR="003A0E08" w:rsidRDefault="003A0E08" w:rsidP="003A0E08">
      <w:pPr>
        <w:pStyle w:val="Tablicaslika"/>
        <w:tabs>
          <w:tab w:val="right" w:leader="dot" w:pos="9062"/>
        </w:tabs>
        <w:spacing w:line="360" w:lineRule="auto"/>
        <w:rPr>
          <w:noProof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TOC \h \z \c "Tablica"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225494517" w:history="1">
        <w:r w:rsidRPr="00675820">
          <w:rPr>
            <w:rStyle w:val="Hiperveza"/>
            <w:noProof/>
          </w:rPr>
          <w:t>Tablica 1: Sažetak računa prihoda i rashoda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_Toc225494517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1E546C" w14:textId="77777777" w:rsidR="003A0E08" w:rsidRDefault="00C729CD" w:rsidP="003A0E08">
      <w:pPr>
        <w:pStyle w:val="Tablicaslika"/>
        <w:tabs>
          <w:tab w:val="right" w:leader="dot" w:pos="9062"/>
        </w:tabs>
        <w:spacing w:line="360" w:lineRule="auto"/>
        <w:rPr>
          <w:noProof/>
        </w:rPr>
      </w:pPr>
      <w:hyperlink w:anchor="_Toc225494518" w:history="1">
        <w:r w:rsidR="003A0E08" w:rsidRPr="00675820">
          <w:rPr>
            <w:rStyle w:val="Hiperveza"/>
            <w:noProof/>
          </w:rPr>
          <w:t>Tablica 2: Rashodi prema funkcijskoj klasifikaciji</w:t>
        </w:r>
        <w:r w:rsidR="003A0E08">
          <w:rPr>
            <w:noProof/>
            <w:webHidden/>
          </w:rPr>
          <w:tab/>
        </w:r>
        <w:r w:rsidR="003A0E08">
          <w:rPr>
            <w:noProof/>
            <w:webHidden/>
          </w:rPr>
          <w:fldChar w:fldCharType="begin"/>
        </w:r>
        <w:r w:rsidR="003A0E08">
          <w:rPr>
            <w:noProof/>
            <w:webHidden/>
          </w:rPr>
          <w:instrText xml:space="preserve"> PAGEREF _Toc225494518 \h </w:instrText>
        </w:r>
        <w:r w:rsidR="003A0E08">
          <w:rPr>
            <w:noProof/>
            <w:webHidden/>
          </w:rPr>
        </w:r>
        <w:r w:rsidR="003A0E08">
          <w:rPr>
            <w:noProof/>
            <w:webHidden/>
          </w:rPr>
          <w:fldChar w:fldCharType="separate"/>
        </w:r>
        <w:r w:rsidR="003A0E08">
          <w:rPr>
            <w:noProof/>
            <w:webHidden/>
          </w:rPr>
          <w:t>6</w:t>
        </w:r>
        <w:r w:rsidR="003A0E08">
          <w:rPr>
            <w:noProof/>
            <w:webHidden/>
          </w:rPr>
          <w:fldChar w:fldCharType="end"/>
        </w:r>
      </w:hyperlink>
    </w:p>
    <w:p w14:paraId="569993BE" w14:textId="77777777" w:rsidR="003A0E08" w:rsidRDefault="00C729CD" w:rsidP="003A0E08">
      <w:pPr>
        <w:pStyle w:val="Tablicaslika"/>
        <w:tabs>
          <w:tab w:val="right" w:leader="dot" w:pos="9062"/>
        </w:tabs>
        <w:spacing w:line="360" w:lineRule="auto"/>
        <w:rPr>
          <w:noProof/>
        </w:rPr>
      </w:pPr>
      <w:hyperlink w:anchor="_Toc225494519" w:history="1">
        <w:r w:rsidR="003A0E08" w:rsidRPr="00675820">
          <w:rPr>
            <w:rStyle w:val="Hiperveza"/>
            <w:noProof/>
          </w:rPr>
          <w:t>Tablica 3: Izvještaj o korištenju EU sredstava</w:t>
        </w:r>
        <w:r w:rsidR="003A0E08">
          <w:rPr>
            <w:noProof/>
            <w:webHidden/>
          </w:rPr>
          <w:tab/>
        </w:r>
        <w:r w:rsidR="003A0E08">
          <w:rPr>
            <w:noProof/>
            <w:webHidden/>
          </w:rPr>
          <w:fldChar w:fldCharType="begin"/>
        </w:r>
        <w:r w:rsidR="003A0E08">
          <w:rPr>
            <w:noProof/>
            <w:webHidden/>
          </w:rPr>
          <w:instrText xml:space="preserve"> PAGEREF _Toc225494519 \h </w:instrText>
        </w:r>
        <w:r w:rsidR="003A0E08">
          <w:rPr>
            <w:noProof/>
            <w:webHidden/>
          </w:rPr>
        </w:r>
        <w:r w:rsidR="003A0E08">
          <w:rPr>
            <w:noProof/>
            <w:webHidden/>
          </w:rPr>
          <w:fldChar w:fldCharType="separate"/>
        </w:r>
        <w:r w:rsidR="003A0E08">
          <w:rPr>
            <w:noProof/>
            <w:webHidden/>
          </w:rPr>
          <w:t>7</w:t>
        </w:r>
        <w:r w:rsidR="003A0E08">
          <w:rPr>
            <w:noProof/>
            <w:webHidden/>
          </w:rPr>
          <w:fldChar w:fldCharType="end"/>
        </w:r>
      </w:hyperlink>
    </w:p>
    <w:p w14:paraId="5CC5B810" w14:textId="77777777" w:rsidR="003A0E08" w:rsidRDefault="003A0E08" w:rsidP="003A0E08">
      <w:pPr>
        <w:spacing w:line="360" w:lineRule="auto"/>
        <w:jc w:val="both"/>
        <w:rPr>
          <w:noProof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TOC \h \z \c "Grafikon"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28332810" w14:textId="77777777" w:rsidR="003A0E08" w:rsidRDefault="00C729CD" w:rsidP="003A0E08">
      <w:pPr>
        <w:pStyle w:val="Tablicaslika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25494529" w:history="1">
        <w:r w:rsidR="003A0E08" w:rsidRPr="00F80852">
          <w:rPr>
            <w:rStyle w:val="Hiperveza"/>
            <w:noProof/>
          </w:rPr>
          <w:t>Grafikon 1:Prikaz prihoda prema ekonomskoj klasifikaciji za 2025. godinu</w:t>
        </w:r>
        <w:r w:rsidR="003A0E08">
          <w:rPr>
            <w:noProof/>
            <w:webHidden/>
          </w:rPr>
          <w:tab/>
        </w:r>
        <w:r w:rsidR="003A0E08">
          <w:rPr>
            <w:noProof/>
            <w:webHidden/>
          </w:rPr>
          <w:fldChar w:fldCharType="begin"/>
        </w:r>
        <w:r w:rsidR="003A0E08">
          <w:rPr>
            <w:noProof/>
            <w:webHidden/>
          </w:rPr>
          <w:instrText xml:space="preserve"> PAGEREF _Toc225494529 \h </w:instrText>
        </w:r>
        <w:r w:rsidR="003A0E08">
          <w:rPr>
            <w:noProof/>
            <w:webHidden/>
          </w:rPr>
        </w:r>
        <w:r w:rsidR="003A0E08">
          <w:rPr>
            <w:noProof/>
            <w:webHidden/>
          </w:rPr>
          <w:fldChar w:fldCharType="separate"/>
        </w:r>
        <w:r w:rsidR="003A0E08">
          <w:rPr>
            <w:noProof/>
            <w:webHidden/>
          </w:rPr>
          <w:t>3</w:t>
        </w:r>
        <w:r w:rsidR="003A0E08">
          <w:rPr>
            <w:noProof/>
            <w:webHidden/>
          </w:rPr>
          <w:fldChar w:fldCharType="end"/>
        </w:r>
      </w:hyperlink>
    </w:p>
    <w:p w14:paraId="4D94B704" w14:textId="77777777" w:rsidR="003A0E08" w:rsidRDefault="00C729CD" w:rsidP="003A0E08">
      <w:pPr>
        <w:pStyle w:val="Tablicaslika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25494530" w:history="1">
        <w:r w:rsidR="003A0E08" w:rsidRPr="00F80852">
          <w:rPr>
            <w:rStyle w:val="Hiperveza"/>
            <w:noProof/>
          </w:rPr>
          <w:t>Grafikon 2:Rashodi prema ekonomskoj klasifikaciji</w:t>
        </w:r>
        <w:r w:rsidR="003A0E08">
          <w:rPr>
            <w:noProof/>
            <w:webHidden/>
          </w:rPr>
          <w:tab/>
        </w:r>
        <w:r w:rsidR="003A0E08">
          <w:rPr>
            <w:noProof/>
            <w:webHidden/>
          </w:rPr>
          <w:fldChar w:fldCharType="begin"/>
        </w:r>
        <w:r w:rsidR="003A0E08">
          <w:rPr>
            <w:noProof/>
            <w:webHidden/>
          </w:rPr>
          <w:instrText xml:space="preserve"> PAGEREF _Toc225494530 \h </w:instrText>
        </w:r>
        <w:r w:rsidR="003A0E08">
          <w:rPr>
            <w:noProof/>
            <w:webHidden/>
          </w:rPr>
        </w:r>
        <w:r w:rsidR="003A0E08">
          <w:rPr>
            <w:noProof/>
            <w:webHidden/>
          </w:rPr>
          <w:fldChar w:fldCharType="separate"/>
        </w:r>
        <w:r w:rsidR="003A0E08">
          <w:rPr>
            <w:noProof/>
            <w:webHidden/>
          </w:rPr>
          <w:t>4</w:t>
        </w:r>
        <w:r w:rsidR="003A0E08">
          <w:rPr>
            <w:noProof/>
            <w:webHidden/>
          </w:rPr>
          <w:fldChar w:fldCharType="end"/>
        </w:r>
      </w:hyperlink>
    </w:p>
    <w:p w14:paraId="5D3E000C" w14:textId="77777777" w:rsidR="003A0E08" w:rsidRDefault="00C729CD" w:rsidP="003A0E08">
      <w:pPr>
        <w:pStyle w:val="Tablicaslika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25494531" w:history="1">
        <w:r w:rsidR="003A0E08" w:rsidRPr="00F80852">
          <w:rPr>
            <w:rStyle w:val="Hiperveza"/>
            <w:noProof/>
          </w:rPr>
          <w:t>Grafikon 3: Prihodi po izvorima</w:t>
        </w:r>
        <w:r w:rsidR="003A0E08">
          <w:rPr>
            <w:noProof/>
            <w:webHidden/>
          </w:rPr>
          <w:tab/>
        </w:r>
        <w:r w:rsidR="003A0E08">
          <w:rPr>
            <w:noProof/>
            <w:webHidden/>
          </w:rPr>
          <w:fldChar w:fldCharType="begin"/>
        </w:r>
        <w:r w:rsidR="003A0E08">
          <w:rPr>
            <w:noProof/>
            <w:webHidden/>
          </w:rPr>
          <w:instrText xml:space="preserve"> PAGEREF _Toc225494531 \h </w:instrText>
        </w:r>
        <w:r w:rsidR="003A0E08">
          <w:rPr>
            <w:noProof/>
            <w:webHidden/>
          </w:rPr>
        </w:r>
        <w:r w:rsidR="003A0E08">
          <w:rPr>
            <w:noProof/>
            <w:webHidden/>
          </w:rPr>
          <w:fldChar w:fldCharType="separate"/>
        </w:r>
        <w:r w:rsidR="003A0E08">
          <w:rPr>
            <w:noProof/>
            <w:webHidden/>
          </w:rPr>
          <w:t>5</w:t>
        </w:r>
        <w:r w:rsidR="003A0E08">
          <w:rPr>
            <w:noProof/>
            <w:webHidden/>
          </w:rPr>
          <w:fldChar w:fldCharType="end"/>
        </w:r>
      </w:hyperlink>
    </w:p>
    <w:p w14:paraId="2E94C645" w14:textId="77777777" w:rsidR="003A0E08" w:rsidRDefault="00C729CD" w:rsidP="003A0E08">
      <w:pPr>
        <w:pStyle w:val="Tablicaslika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25494532" w:history="1">
        <w:r w:rsidR="003A0E08" w:rsidRPr="00F80852">
          <w:rPr>
            <w:rStyle w:val="Hiperveza"/>
            <w:noProof/>
          </w:rPr>
          <w:t>Grafikon 4: Rashodi po izvorima</w:t>
        </w:r>
        <w:r w:rsidR="003A0E08">
          <w:rPr>
            <w:noProof/>
            <w:webHidden/>
          </w:rPr>
          <w:tab/>
        </w:r>
        <w:r w:rsidR="003A0E08">
          <w:rPr>
            <w:noProof/>
            <w:webHidden/>
          </w:rPr>
          <w:fldChar w:fldCharType="begin"/>
        </w:r>
        <w:r w:rsidR="003A0E08">
          <w:rPr>
            <w:noProof/>
            <w:webHidden/>
          </w:rPr>
          <w:instrText xml:space="preserve"> PAGEREF _Toc225494532 \h </w:instrText>
        </w:r>
        <w:r w:rsidR="003A0E08">
          <w:rPr>
            <w:noProof/>
            <w:webHidden/>
          </w:rPr>
        </w:r>
        <w:r w:rsidR="003A0E08">
          <w:rPr>
            <w:noProof/>
            <w:webHidden/>
          </w:rPr>
          <w:fldChar w:fldCharType="separate"/>
        </w:r>
        <w:r w:rsidR="003A0E08">
          <w:rPr>
            <w:noProof/>
            <w:webHidden/>
          </w:rPr>
          <w:t>6</w:t>
        </w:r>
        <w:r w:rsidR="003A0E08">
          <w:rPr>
            <w:noProof/>
            <w:webHidden/>
          </w:rPr>
          <w:fldChar w:fldCharType="end"/>
        </w:r>
      </w:hyperlink>
    </w:p>
    <w:p w14:paraId="1C870CDA" w14:textId="77777777" w:rsidR="00EB4D37" w:rsidRPr="00DE1D69" w:rsidRDefault="003A0E08" w:rsidP="003A0E0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EB4D37" w:rsidRPr="00DE1D69" w:rsidSect="00C84DF6">
      <w:footerReference w:type="default" r:id="rId15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71C03" w14:textId="77777777" w:rsidR="00C729CD" w:rsidRDefault="00C729CD" w:rsidP="005F02C7">
      <w:r>
        <w:separator/>
      </w:r>
    </w:p>
  </w:endnote>
  <w:endnote w:type="continuationSeparator" w:id="0">
    <w:p w14:paraId="7B27B2A7" w14:textId="77777777" w:rsidR="00C729CD" w:rsidRDefault="00C729CD" w:rsidP="005F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C2F84" w14:textId="77777777" w:rsidR="00C84DF6" w:rsidRDefault="00C84DF6">
    <w:pPr>
      <w:pStyle w:val="Podnoje"/>
      <w:jc w:val="right"/>
    </w:pPr>
  </w:p>
  <w:p w14:paraId="6C87868F" w14:textId="77777777" w:rsidR="00C84DF6" w:rsidRDefault="00C84DF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581652"/>
      <w:docPartObj>
        <w:docPartGallery w:val="Page Numbers (Bottom of Page)"/>
        <w:docPartUnique/>
      </w:docPartObj>
    </w:sdtPr>
    <w:sdtEndPr/>
    <w:sdtContent>
      <w:p w14:paraId="4F9B28CC" w14:textId="77777777" w:rsidR="00C84DF6" w:rsidRDefault="001725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F5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E78EE55" w14:textId="77777777" w:rsidR="00C84DF6" w:rsidRDefault="00C84DF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45838" w14:textId="77777777" w:rsidR="00C729CD" w:rsidRDefault="00C729CD" w:rsidP="005F02C7">
      <w:r>
        <w:separator/>
      </w:r>
    </w:p>
  </w:footnote>
  <w:footnote w:type="continuationSeparator" w:id="0">
    <w:p w14:paraId="61DC3A8B" w14:textId="77777777" w:rsidR="00C729CD" w:rsidRDefault="00C729CD" w:rsidP="005F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52049"/>
    <w:multiLevelType w:val="hybridMultilevel"/>
    <w:tmpl w:val="14D4647C"/>
    <w:lvl w:ilvl="0" w:tplc="E110C2BA">
      <w:start w:val="5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5B825BBC"/>
    <w:multiLevelType w:val="hybridMultilevel"/>
    <w:tmpl w:val="10E6AE3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114CE"/>
    <w:multiLevelType w:val="hybridMultilevel"/>
    <w:tmpl w:val="10E6AE3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E67F2"/>
    <w:multiLevelType w:val="hybridMultilevel"/>
    <w:tmpl w:val="820C9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B14DD"/>
    <w:multiLevelType w:val="hybridMultilevel"/>
    <w:tmpl w:val="C324EAD6"/>
    <w:lvl w:ilvl="0" w:tplc="626E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21"/>
    <w:rsid w:val="00000A65"/>
    <w:rsid w:val="00004EC5"/>
    <w:rsid w:val="00020048"/>
    <w:rsid w:val="00021294"/>
    <w:rsid w:val="000228F3"/>
    <w:rsid w:val="00035031"/>
    <w:rsid w:val="00061959"/>
    <w:rsid w:val="00061C34"/>
    <w:rsid w:val="00075AF3"/>
    <w:rsid w:val="00086CBF"/>
    <w:rsid w:val="000910D1"/>
    <w:rsid w:val="00094687"/>
    <w:rsid w:val="000B11EE"/>
    <w:rsid w:val="000B2B72"/>
    <w:rsid w:val="000B3E34"/>
    <w:rsid w:val="000B50FE"/>
    <w:rsid w:val="000D2586"/>
    <w:rsid w:val="000D483C"/>
    <w:rsid w:val="000F45A6"/>
    <w:rsid w:val="001132F6"/>
    <w:rsid w:val="001153FD"/>
    <w:rsid w:val="00132F3F"/>
    <w:rsid w:val="00135396"/>
    <w:rsid w:val="0015205C"/>
    <w:rsid w:val="00153D2A"/>
    <w:rsid w:val="001633CE"/>
    <w:rsid w:val="001725C9"/>
    <w:rsid w:val="00174DEF"/>
    <w:rsid w:val="0018369B"/>
    <w:rsid w:val="001B0738"/>
    <w:rsid w:val="001C13CE"/>
    <w:rsid w:val="001E4A13"/>
    <w:rsid w:val="001E79F8"/>
    <w:rsid w:val="001F259B"/>
    <w:rsid w:val="001F602C"/>
    <w:rsid w:val="001F698B"/>
    <w:rsid w:val="00201E10"/>
    <w:rsid w:val="00233EE6"/>
    <w:rsid w:val="00234D6E"/>
    <w:rsid w:val="00253E60"/>
    <w:rsid w:val="002548EB"/>
    <w:rsid w:val="002650A8"/>
    <w:rsid w:val="00277E47"/>
    <w:rsid w:val="00284642"/>
    <w:rsid w:val="00286E1E"/>
    <w:rsid w:val="002A00AE"/>
    <w:rsid w:val="002A2865"/>
    <w:rsid w:val="002A4DAB"/>
    <w:rsid w:val="002C1BA8"/>
    <w:rsid w:val="002C27EB"/>
    <w:rsid w:val="002C7D03"/>
    <w:rsid w:val="002E209B"/>
    <w:rsid w:val="002E359D"/>
    <w:rsid w:val="002E659F"/>
    <w:rsid w:val="002F58A8"/>
    <w:rsid w:val="002F726F"/>
    <w:rsid w:val="00307278"/>
    <w:rsid w:val="0031196E"/>
    <w:rsid w:val="00313792"/>
    <w:rsid w:val="00322043"/>
    <w:rsid w:val="00340D00"/>
    <w:rsid w:val="00370F10"/>
    <w:rsid w:val="003834F0"/>
    <w:rsid w:val="0038675D"/>
    <w:rsid w:val="0038725A"/>
    <w:rsid w:val="00393E6F"/>
    <w:rsid w:val="003A0E08"/>
    <w:rsid w:val="003A271D"/>
    <w:rsid w:val="003A300C"/>
    <w:rsid w:val="003A6645"/>
    <w:rsid w:val="003C2408"/>
    <w:rsid w:val="003D7523"/>
    <w:rsid w:val="003E704D"/>
    <w:rsid w:val="003F30EE"/>
    <w:rsid w:val="0040137F"/>
    <w:rsid w:val="00417617"/>
    <w:rsid w:val="004207B2"/>
    <w:rsid w:val="00420DFD"/>
    <w:rsid w:val="004257CE"/>
    <w:rsid w:val="00435A2A"/>
    <w:rsid w:val="00447B65"/>
    <w:rsid w:val="00454C22"/>
    <w:rsid w:val="0046138A"/>
    <w:rsid w:val="00463964"/>
    <w:rsid w:val="004677FE"/>
    <w:rsid w:val="0047403D"/>
    <w:rsid w:val="00483EF1"/>
    <w:rsid w:val="00492844"/>
    <w:rsid w:val="00497DB2"/>
    <w:rsid w:val="00497FC9"/>
    <w:rsid w:val="004B146C"/>
    <w:rsid w:val="004C1B0C"/>
    <w:rsid w:val="004C756A"/>
    <w:rsid w:val="004D6B58"/>
    <w:rsid w:val="004E1DF4"/>
    <w:rsid w:val="004F56FA"/>
    <w:rsid w:val="004F5ACA"/>
    <w:rsid w:val="005022FF"/>
    <w:rsid w:val="005038AD"/>
    <w:rsid w:val="00506F08"/>
    <w:rsid w:val="0054525A"/>
    <w:rsid w:val="00547063"/>
    <w:rsid w:val="00550A8A"/>
    <w:rsid w:val="00551B44"/>
    <w:rsid w:val="00554436"/>
    <w:rsid w:val="00561442"/>
    <w:rsid w:val="005629A7"/>
    <w:rsid w:val="00563DC8"/>
    <w:rsid w:val="0056770E"/>
    <w:rsid w:val="005717D8"/>
    <w:rsid w:val="0057674B"/>
    <w:rsid w:val="005B4890"/>
    <w:rsid w:val="005C6B8D"/>
    <w:rsid w:val="005D795A"/>
    <w:rsid w:val="005F02C7"/>
    <w:rsid w:val="005F0997"/>
    <w:rsid w:val="005F1CF1"/>
    <w:rsid w:val="005F27A4"/>
    <w:rsid w:val="00601D06"/>
    <w:rsid w:val="00606ADD"/>
    <w:rsid w:val="006073E1"/>
    <w:rsid w:val="0061010E"/>
    <w:rsid w:val="00613778"/>
    <w:rsid w:val="00615AE6"/>
    <w:rsid w:val="00617FBA"/>
    <w:rsid w:val="00622F97"/>
    <w:rsid w:val="0063193F"/>
    <w:rsid w:val="00634C52"/>
    <w:rsid w:val="00640382"/>
    <w:rsid w:val="00644FC8"/>
    <w:rsid w:val="00662431"/>
    <w:rsid w:val="00665FB3"/>
    <w:rsid w:val="00672B3C"/>
    <w:rsid w:val="0068664D"/>
    <w:rsid w:val="00696984"/>
    <w:rsid w:val="006A1B6E"/>
    <w:rsid w:val="006A7D9A"/>
    <w:rsid w:val="006B07E9"/>
    <w:rsid w:val="006C00E4"/>
    <w:rsid w:val="006C2491"/>
    <w:rsid w:val="006C47C4"/>
    <w:rsid w:val="006C5108"/>
    <w:rsid w:val="006D341F"/>
    <w:rsid w:val="006E3CAD"/>
    <w:rsid w:val="006F1249"/>
    <w:rsid w:val="006F3CBE"/>
    <w:rsid w:val="00700CC9"/>
    <w:rsid w:val="007025DA"/>
    <w:rsid w:val="007029BE"/>
    <w:rsid w:val="0071354E"/>
    <w:rsid w:val="00721AC3"/>
    <w:rsid w:val="007310AA"/>
    <w:rsid w:val="00746E6D"/>
    <w:rsid w:val="00747043"/>
    <w:rsid w:val="00756B39"/>
    <w:rsid w:val="00756F0E"/>
    <w:rsid w:val="00764A4D"/>
    <w:rsid w:val="00781C53"/>
    <w:rsid w:val="0079400F"/>
    <w:rsid w:val="007C1191"/>
    <w:rsid w:val="007D2C55"/>
    <w:rsid w:val="007E2857"/>
    <w:rsid w:val="007E5027"/>
    <w:rsid w:val="007E69B0"/>
    <w:rsid w:val="007F39AE"/>
    <w:rsid w:val="008014D8"/>
    <w:rsid w:val="00802E2B"/>
    <w:rsid w:val="008167E4"/>
    <w:rsid w:val="0081692D"/>
    <w:rsid w:val="008262B0"/>
    <w:rsid w:val="008278DA"/>
    <w:rsid w:val="0083079E"/>
    <w:rsid w:val="00830A0E"/>
    <w:rsid w:val="00851C25"/>
    <w:rsid w:val="008703F8"/>
    <w:rsid w:val="00876EBF"/>
    <w:rsid w:val="0088246E"/>
    <w:rsid w:val="008929AD"/>
    <w:rsid w:val="00892BBA"/>
    <w:rsid w:val="00896C7E"/>
    <w:rsid w:val="008A2EF8"/>
    <w:rsid w:val="008A53F0"/>
    <w:rsid w:val="008A79EC"/>
    <w:rsid w:val="008B1237"/>
    <w:rsid w:val="008E0375"/>
    <w:rsid w:val="009037C9"/>
    <w:rsid w:val="009277F1"/>
    <w:rsid w:val="0093401F"/>
    <w:rsid w:val="00943102"/>
    <w:rsid w:val="00946620"/>
    <w:rsid w:val="009502E9"/>
    <w:rsid w:val="00957138"/>
    <w:rsid w:val="00962178"/>
    <w:rsid w:val="00973C61"/>
    <w:rsid w:val="00983A93"/>
    <w:rsid w:val="00985F07"/>
    <w:rsid w:val="00997221"/>
    <w:rsid w:val="009A0BFE"/>
    <w:rsid w:val="009A1C08"/>
    <w:rsid w:val="009A4F9B"/>
    <w:rsid w:val="009B28A7"/>
    <w:rsid w:val="009C1132"/>
    <w:rsid w:val="009D6F54"/>
    <w:rsid w:val="009D7D53"/>
    <w:rsid w:val="009E1D52"/>
    <w:rsid w:val="009E78D4"/>
    <w:rsid w:val="009F605B"/>
    <w:rsid w:val="00A00883"/>
    <w:rsid w:val="00A06EAA"/>
    <w:rsid w:val="00A100F4"/>
    <w:rsid w:val="00A12908"/>
    <w:rsid w:val="00A41123"/>
    <w:rsid w:val="00A42360"/>
    <w:rsid w:val="00A5418E"/>
    <w:rsid w:val="00A74D8F"/>
    <w:rsid w:val="00A916F6"/>
    <w:rsid w:val="00A941BD"/>
    <w:rsid w:val="00AA00D0"/>
    <w:rsid w:val="00AA65FB"/>
    <w:rsid w:val="00AD13D7"/>
    <w:rsid w:val="00AE1488"/>
    <w:rsid w:val="00AE30DC"/>
    <w:rsid w:val="00AE6565"/>
    <w:rsid w:val="00AF24B3"/>
    <w:rsid w:val="00AF4916"/>
    <w:rsid w:val="00AF5A37"/>
    <w:rsid w:val="00B11AC2"/>
    <w:rsid w:val="00B20FA3"/>
    <w:rsid w:val="00B21730"/>
    <w:rsid w:val="00B270CC"/>
    <w:rsid w:val="00B43CAE"/>
    <w:rsid w:val="00B46108"/>
    <w:rsid w:val="00B60AAC"/>
    <w:rsid w:val="00B73A63"/>
    <w:rsid w:val="00B82E20"/>
    <w:rsid w:val="00BA00BC"/>
    <w:rsid w:val="00BA7B2A"/>
    <w:rsid w:val="00BB1C70"/>
    <w:rsid w:val="00BB3431"/>
    <w:rsid w:val="00BB40C4"/>
    <w:rsid w:val="00BC4225"/>
    <w:rsid w:val="00BD67F8"/>
    <w:rsid w:val="00BE0297"/>
    <w:rsid w:val="00BE0EED"/>
    <w:rsid w:val="00C03ABA"/>
    <w:rsid w:val="00C12D58"/>
    <w:rsid w:val="00C20B73"/>
    <w:rsid w:val="00C348CC"/>
    <w:rsid w:val="00C4049D"/>
    <w:rsid w:val="00C4154B"/>
    <w:rsid w:val="00C526BF"/>
    <w:rsid w:val="00C56E2F"/>
    <w:rsid w:val="00C6281B"/>
    <w:rsid w:val="00C67DA3"/>
    <w:rsid w:val="00C71F7C"/>
    <w:rsid w:val="00C72862"/>
    <w:rsid w:val="00C729CD"/>
    <w:rsid w:val="00C76BB9"/>
    <w:rsid w:val="00C77D4F"/>
    <w:rsid w:val="00C8328F"/>
    <w:rsid w:val="00C84DF6"/>
    <w:rsid w:val="00C96599"/>
    <w:rsid w:val="00CA4B08"/>
    <w:rsid w:val="00CA7FAD"/>
    <w:rsid w:val="00CB5115"/>
    <w:rsid w:val="00CC2519"/>
    <w:rsid w:val="00CC3AF1"/>
    <w:rsid w:val="00D0447C"/>
    <w:rsid w:val="00D10EC0"/>
    <w:rsid w:val="00D16497"/>
    <w:rsid w:val="00D22B5A"/>
    <w:rsid w:val="00D30D7E"/>
    <w:rsid w:val="00D3558E"/>
    <w:rsid w:val="00D37FA5"/>
    <w:rsid w:val="00D96FD1"/>
    <w:rsid w:val="00DB3482"/>
    <w:rsid w:val="00DB442C"/>
    <w:rsid w:val="00DC25E8"/>
    <w:rsid w:val="00DC4A05"/>
    <w:rsid w:val="00DC4DEA"/>
    <w:rsid w:val="00DD285C"/>
    <w:rsid w:val="00DD6474"/>
    <w:rsid w:val="00DE1D69"/>
    <w:rsid w:val="00DF6663"/>
    <w:rsid w:val="00E00632"/>
    <w:rsid w:val="00E06D62"/>
    <w:rsid w:val="00E120CD"/>
    <w:rsid w:val="00E12EDA"/>
    <w:rsid w:val="00E14743"/>
    <w:rsid w:val="00E27DE1"/>
    <w:rsid w:val="00E33E47"/>
    <w:rsid w:val="00E35835"/>
    <w:rsid w:val="00E3739A"/>
    <w:rsid w:val="00E41380"/>
    <w:rsid w:val="00E61F6A"/>
    <w:rsid w:val="00E700DE"/>
    <w:rsid w:val="00E8019C"/>
    <w:rsid w:val="00E82318"/>
    <w:rsid w:val="00E95FD4"/>
    <w:rsid w:val="00E97943"/>
    <w:rsid w:val="00EA7E20"/>
    <w:rsid w:val="00EB14E0"/>
    <w:rsid w:val="00EB4D37"/>
    <w:rsid w:val="00EB5FA7"/>
    <w:rsid w:val="00ED3BEE"/>
    <w:rsid w:val="00ED6418"/>
    <w:rsid w:val="00ED69E6"/>
    <w:rsid w:val="00EF455C"/>
    <w:rsid w:val="00F006D5"/>
    <w:rsid w:val="00F06805"/>
    <w:rsid w:val="00F10405"/>
    <w:rsid w:val="00F15EA9"/>
    <w:rsid w:val="00F307DF"/>
    <w:rsid w:val="00F36C7C"/>
    <w:rsid w:val="00F37FF9"/>
    <w:rsid w:val="00F409E5"/>
    <w:rsid w:val="00F451AF"/>
    <w:rsid w:val="00F464E5"/>
    <w:rsid w:val="00F80E79"/>
    <w:rsid w:val="00F83470"/>
    <w:rsid w:val="00F95545"/>
    <w:rsid w:val="00FB09CE"/>
    <w:rsid w:val="00FB1309"/>
    <w:rsid w:val="00FC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47C"/>
  <w15:docId w15:val="{4B2EE16F-0501-42EB-B0A5-4C6D178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C84D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84D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84D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5">
    <w:name w:val="heading 5"/>
    <w:basedOn w:val="Normal"/>
    <w:link w:val="Naslov5Char"/>
    <w:uiPriority w:val="9"/>
    <w:qFormat/>
    <w:rsid w:val="00B21730"/>
    <w:pPr>
      <w:spacing w:before="100" w:beforeAutospacing="1" w:after="100" w:afterAutospacing="1"/>
      <w:outlineLvl w:val="4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19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E1DF4"/>
    <w:pPr>
      <w:ind w:left="720"/>
      <w:contextualSpacing/>
    </w:pPr>
  </w:style>
  <w:style w:type="table" w:styleId="Reetkatablice">
    <w:name w:val="Table Grid"/>
    <w:basedOn w:val="Obinatablica"/>
    <w:uiPriority w:val="39"/>
    <w:rsid w:val="006C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02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02C7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5F02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02C7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634C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4C52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17617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B2173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customStyle="1" w:styleId="Svijetlatablicareetke-isticanje11">
    <w:name w:val="Svijetla tablica rešetke - isticanje 11"/>
    <w:basedOn w:val="Obinatablica"/>
    <w:uiPriority w:val="46"/>
    <w:rsid w:val="0068664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uiPriority w:val="46"/>
    <w:rsid w:val="006866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68664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68664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popisa4-isticanje11">
    <w:name w:val="Tablica popisa 4 - isticanje 11"/>
    <w:basedOn w:val="Obinatablica"/>
    <w:uiPriority w:val="49"/>
    <w:rsid w:val="006866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BE0E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BE0E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binatablica51">
    <w:name w:val="Obična tablica 51"/>
    <w:basedOn w:val="Obinatablica"/>
    <w:uiPriority w:val="45"/>
    <w:rsid w:val="00BE0E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andardWeb">
    <w:name w:val="Normal (Web)"/>
    <w:basedOn w:val="Normal"/>
    <w:uiPriority w:val="99"/>
    <w:unhideWhenUsed/>
    <w:rsid w:val="008703F8"/>
    <w:pPr>
      <w:spacing w:before="100" w:beforeAutospacing="1" w:after="100" w:afterAutospacing="1"/>
    </w:pPr>
    <w:rPr>
      <w:sz w:val="24"/>
      <w:szCs w:val="24"/>
      <w:lang w:eastAsia="hr-HR"/>
    </w:rPr>
  </w:style>
  <w:style w:type="table" w:customStyle="1" w:styleId="Tablicareetke4-isticanje11">
    <w:name w:val="Tablica rešetke 4 - isticanje 11"/>
    <w:basedOn w:val="Obinatablica"/>
    <w:uiPriority w:val="49"/>
    <w:rsid w:val="00E3739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C1B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B0C"/>
    <w:rPr>
      <w:rFonts w:ascii="Tahoma" w:eastAsia="Times New Roman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06D62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84D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84D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84DF6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A0E08"/>
    <w:pPr>
      <w:spacing w:line="276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3A0E0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A0E08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3A0E08"/>
    <w:pPr>
      <w:spacing w:after="100"/>
      <w:ind w:left="400"/>
    </w:pPr>
  </w:style>
  <w:style w:type="paragraph" w:styleId="Tablicaslika">
    <w:name w:val="table of figures"/>
    <w:basedOn w:val="Normal"/>
    <w:next w:val="Normal"/>
    <w:uiPriority w:val="99"/>
    <w:unhideWhenUsed/>
    <w:rsid w:val="003A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turic-gospic.skole.hr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63</c:v>
                </c:pt>
                <c:pt idx="1">
                  <c:v>64</c:v>
                </c:pt>
                <c:pt idx="2">
                  <c:v>65</c:v>
                </c:pt>
                <c:pt idx="3">
                  <c:v>66</c:v>
                </c:pt>
                <c:pt idx="4">
                  <c:v>67</c:v>
                </c:pt>
              </c:numCache>
            </c:numRef>
          </c:cat>
          <c:val>
            <c:numRef>
              <c:f>List1!$B$2:$B$6</c:f>
              <c:numCache>
                <c:formatCode>#,##0.00</c:formatCode>
                <c:ptCount val="5"/>
                <c:pt idx="0">
                  <c:v>3014739.62</c:v>
                </c:pt>
                <c:pt idx="1">
                  <c:v>2.6</c:v>
                </c:pt>
                <c:pt idx="2">
                  <c:v>38258.450000000012</c:v>
                </c:pt>
                <c:pt idx="3">
                  <c:v>34041.620000000003</c:v>
                </c:pt>
                <c:pt idx="4">
                  <c:v>554395.99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EE-44F1-8AED-647045EA16B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63</c:v>
                </c:pt>
                <c:pt idx="1">
                  <c:v>64</c:v>
                </c:pt>
                <c:pt idx="2">
                  <c:v>65</c:v>
                </c:pt>
                <c:pt idx="3">
                  <c:v>66</c:v>
                </c:pt>
                <c:pt idx="4">
                  <c:v>67</c:v>
                </c:pt>
              </c:numCache>
            </c:numRef>
          </c:cat>
          <c:val>
            <c:numRef>
              <c:f>List1!$C$2:$C$6</c:f>
              <c:numCache>
                <c:formatCode>#,##0</c:formatCode>
                <c:ptCount val="5"/>
                <c:pt idx="0">
                  <c:v>4122159</c:v>
                </c:pt>
                <c:pt idx="1">
                  <c:v>7</c:v>
                </c:pt>
                <c:pt idx="2">
                  <c:v>30700</c:v>
                </c:pt>
                <c:pt idx="3">
                  <c:v>32500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EE-44F1-8AED-647045EA16B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63</c:v>
                </c:pt>
                <c:pt idx="1">
                  <c:v>64</c:v>
                </c:pt>
                <c:pt idx="2">
                  <c:v>65</c:v>
                </c:pt>
                <c:pt idx="3">
                  <c:v>66</c:v>
                </c:pt>
                <c:pt idx="4">
                  <c:v>67</c:v>
                </c:pt>
              </c:numCache>
            </c:numRef>
          </c:cat>
          <c:val>
            <c:numRef>
              <c:f>List1!$D$2:$D$6</c:f>
              <c:numCache>
                <c:formatCode>#,##0.00</c:formatCode>
                <c:ptCount val="5"/>
                <c:pt idx="0">
                  <c:v>3822727.73</c:v>
                </c:pt>
                <c:pt idx="1">
                  <c:v>1.7</c:v>
                </c:pt>
                <c:pt idx="2">
                  <c:v>43907.97</c:v>
                </c:pt>
                <c:pt idx="3">
                  <c:v>22877.62</c:v>
                </c:pt>
                <c:pt idx="4">
                  <c:v>585759.16999999981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EE-44F1-8AED-647045EA1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7554448"/>
        <c:axId val="1317549008"/>
      </c:barChart>
      <c:catAx>
        <c:axId val="131755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7549008"/>
        <c:crosses val="autoZero"/>
        <c:auto val="1"/>
        <c:lblAlgn val="ctr"/>
        <c:lblOffset val="100"/>
        <c:noMultiLvlLbl val="0"/>
      </c:catAx>
      <c:valAx>
        <c:axId val="131754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755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67440433582167"/>
          <c:y val="9.3562334558926472E-2"/>
          <c:w val="0.86432559566417855"/>
          <c:h val="0.53923217990864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31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2769281.03</c:v>
                </c:pt>
                <c:pt idx="1">
                  <c:v>3151904</c:v>
                </c:pt>
                <c:pt idx="2">
                  <c:v>3277675.73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06-40F2-A145-CA7DAAE4F37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32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List1!$C$2:$C$4</c:f>
              <c:numCache>
                <c:formatCode>#,##0.00</c:formatCode>
                <c:ptCount val="3"/>
                <c:pt idx="0">
                  <c:v>592775.1799999997</c:v>
                </c:pt>
                <c:pt idx="1">
                  <c:v>582877</c:v>
                </c:pt>
                <c:pt idx="2">
                  <c:v>531365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06-40F2-A145-CA7DAAE4F37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34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List1!$D$2:$D$4</c:f>
              <c:numCache>
                <c:formatCode>#,##0.00</c:formatCode>
                <c:ptCount val="3"/>
                <c:pt idx="0">
                  <c:v>1811.1599999999999</c:v>
                </c:pt>
                <c:pt idx="1">
                  <c:v>1680</c:v>
                </c:pt>
                <c:pt idx="2">
                  <c:v>1358.11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06-40F2-A145-CA7DAAE4F379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37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List1!$E$2:$E$4</c:f>
              <c:numCache>
                <c:formatCode>#,##0.00</c:formatCode>
                <c:ptCount val="3"/>
                <c:pt idx="0">
                  <c:v>177096.72</c:v>
                </c:pt>
                <c:pt idx="1">
                  <c:v>191116</c:v>
                </c:pt>
                <c:pt idx="2">
                  <c:v>186874.46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806-40F2-A145-CA7DAAE4F379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38</c:v>
                </c:pt>
              </c:strCache>
            </c:strRef>
          </c:tx>
          <c:spPr>
            <a:ln w="34925" cap="rnd">
              <a:solidFill>
                <a:schemeClr val="accent5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List1!$F$2:$F$4</c:f>
              <c:numCache>
                <c:formatCode>#,##0.00</c:formatCode>
                <c:ptCount val="3"/>
                <c:pt idx="0">
                  <c:v>1669.5</c:v>
                </c:pt>
                <c:pt idx="1">
                  <c:v>1670</c:v>
                </c:pt>
                <c:pt idx="2">
                  <c:v>1639.6799999999998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806-40F2-A145-CA7DAAE4F379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42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List1!$G$2:$G$4</c:f>
              <c:numCache>
                <c:formatCode>#,##0.00</c:formatCode>
                <c:ptCount val="3"/>
                <c:pt idx="0">
                  <c:v>69981.77</c:v>
                </c:pt>
                <c:pt idx="1">
                  <c:v>62150</c:v>
                </c:pt>
                <c:pt idx="2">
                  <c:v>70478.23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06-40F2-A145-CA7DAAE4F379}"/>
            </c:ext>
          </c:extLst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45</c:v>
                </c:pt>
              </c:strCache>
            </c:strRef>
          </c:tx>
          <c:spPr>
            <a:ln w="34925" cap="rnd">
              <a:solidFill>
                <a:schemeClr val="accent1">
                  <a:lumMod val="60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List1!$H$2:$H$4</c:f>
              <c:numCache>
                <c:formatCode>#,##0.00</c:formatCode>
                <c:ptCount val="3"/>
                <c:pt idx="0">
                  <c:v>11200</c:v>
                </c:pt>
                <c:pt idx="1">
                  <c:v>130762</c:v>
                </c:pt>
                <c:pt idx="2">
                  <c:v>68760.039999999994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806-40F2-A145-CA7DAAE4F3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7562064"/>
        <c:axId val="1317556080"/>
      </c:barChart>
      <c:catAx>
        <c:axId val="131756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7556080"/>
        <c:crosses val="autoZero"/>
        <c:auto val="1"/>
        <c:lblAlgn val="ctr"/>
        <c:lblOffset val="100"/>
        <c:noMultiLvlLbl val="0"/>
      </c:catAx>
      <c:valAx>
        <c:axId val="131755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7562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 5</c:v>
                </c:pt>
              </c:strCache>
            </c:strRef>
          </c:tx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3383679.7600000002</c:v>
                </c:pt>
                <c:pt idx="1">
                  <c:v>3737813</c:v>
                </c:pt>
                <c:pt idx="2">
                  <c:v>3445877.2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01-4B17-BCCE-12EFFB1B518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Izvor 4</c:v>
                </c:pt>
              </c:strCache>
            </c:strRef>
          </c:tx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List1!$C$2:$C$4</c:f>
              <c:numCache>
                <c:formatCode>#,##0.00</c:formatCode>
                <c:ptCount val="3"/>
                <c:pt idx="0">
                  <c:v>43364.17</c:v>
                </c:pt>
                <c:pt idx="1">
                  <c:v>30700</c:v>
                </c:pt>
                <c:pt idx="2">
                  <c:v>28118.55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01-4B17-BCCE-12EFFB1B518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Izvor 3</c:v>
                </c:pt>
              </c:strCache>
            </c:strRef>
          </c:tx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List1!$D$2:$D$4</c:f>
              <c:numCache>
                <c:formatCode>#,##0.00</c:formatCode>
                <c:ptCount val="3"/>
                <c:pt idx="0">
                  <c:v>27953.149999999994</c:v>
                </c:pt>
                <c:pt idx="1">
                  <c:v>28507</c:v>
                </c:pt>
                <c:pt idx="2">
                  <c:v>27313.260000000006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01-4B17-BCCE-12EFFB1B5185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Izvor 1</c:v>
                </c:pt>
              </c:strCache>
            </c:strRef>
          </c:tx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List1!$E$2:$E$4</c:f>
              <c:numCache>
                <c:formatCode>#,##0.00</c:formatCode>
                <c:ptCount val="3"/>
                <c:pt idx="0">
                  <c:v>185155.84999999998</c:v>
                </c:pt>
                <c:pt idx="1">
                  <c:v>291139</c:v>
                </c:pt>
                <c:pt idx="2">
                  <c:v>310063.24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F01-4B17-BCCE-12EFFB1B5185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Izvor 6</c:v>
                </c:pt>
              </c:strCache>
            </c:strRef>
          </c:tx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List1!$F$2:$F$4</c:f>
              <c:numCache>
                <c:formatCode>#,##0.00</c:formatCode>
                <c:ptCount val="3"/>
                <c:pt idx="0">
                  <c:v>7000</c:v>
                </c:pt>
                <c:pt idx="1">
                  <c:v>4000</c:v>
                </c:pt>
                <c:pt idx="2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D2-4E75-AB47-59DA367CB4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17561520"/>
        <c:axId val="1317563152"/>
      </c:barChart>
      <c:catAx>
        <c:axId val="131756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317563152"/>
        <c:crosses val="autoZero"/>
        <c:auto val="1"/>
        <c:lblAlgn val="ctr"/>
        <c:lblOffset val="100"/>
        <c:noMultiLvlLbl val="0"/>
      </c:catAx>
      <c:valAx>
        <c:axId val="1317563152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317561520"/>
        <c:crosses val="autoZero"/>
        <c:crossBetween val="between"/>
      </c:valAx>
    </c:plotArea>
    <c:legend>
      <c:legendPos val="t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 5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3361553.7</c:v>
                </c:pt>
                <c:pt idx="1">
                  <c:v>3767813</c:v>
                </c:pt>
                <c:pt idx="2">
                  <c:v>3749716.61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4-4C65-9536-1F2A02AEBB7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Izvor 4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List1!$C$2:$C$4</c:f>
              <c:numCache>
                <c:formatCode>#,##0.00</c:formatCode>
                <c:ptCount val="3"/>
                <c:pt idx="0">
                  <c:v>43364.17</c:v>
                </c:pt>
                <c:pt idx="1">
                  <c:v>30700</c:v>
                </c:pt>
                <c:pt idx="2">
                  <c:v>28118.55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4-4C65-9536-1F2A02AEBB7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Izvor 3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List1!$D$2:$D$4</c:f>
              <c:numCache>
                <c:formatCode>#,##0.00</c:formatCode>
                <c:ptCount val="3"/>
                <c:pt idx="0">
                  <c:v>27953.149999999994</c:v>
                </c:pt>
                <c:pt idx="1">
                  <c:v>28507</c:v>
                </c:pt>
                <c:pt idx="2">
                  <c:v>27313.260000000006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0F4-4C65-9536-1F2A02AEBB78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Izvor 1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Izvršenje 2024.</c:v>
                </c:pt>
                <c:pt idx="1">
                  <c:v>Plan 2025.</c:v>
                </c:pt>
                <c:pt idx="2">
                  <c:v>Izvršenje 2025. </c:v>
                </c:pt>
              </c:strCache>
            </c:strRef>
          </c:cat>
          <c:val>
            <c:numRef>
              <c:f>List1!$E$2:$E$4</c:f>
              <c:numCache>
                <c:formatCode>#,##0.00</c:formatCode>
                <c:ptCount val="3"/>
                <c:pt idx="0">
                  <c:v>183944.34</c:v>
                </c:pt>
                <c:pt idx="1">
                  <c:v>291139</c:v>
                </c:pt>
                <c:pt idx="2">
                  <c:v>277002.83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0F4-4C65-9536-1F2A02AEB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552272"/>
        <c:axId val="1317552816"/>
      </c:barChart>
      <c:catAx>
        <c:axId val="131755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317552816"/>
        <c:crosses val="autoZero"/>
        <c:auto val="1"/>
        <c:lblAlgn val="ctr"/>
        <c:lblOffset val="100"/>
        <c:noMultiLvlLbl val="0"/>
      </c:catAx>
      <c:valAx>
        <c:axId val="1317552816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317552272"/>
        <c:crosses val="autoZero"/>
        <c:crossBetween val="between"/>
      </c:valAx>
    </c:plotArea>
    <c:legend>
      <c:legendPos val="t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D171-C592-41FE-8F30-C55B690C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2</cp:revision>
  <cp:lastPrinted>2024-03-21T10:06:00Z</cp:lastPrinted>
  <dcterms:created xsi:type="dcterms:W3CDTF">2026-04-02T06:42:00Z</dcterms:created>
  <dcterms:modified xsi:type="dcterms:W3CDTF">2026-04-02T06:42:00Z</dcterms:modified>
</cp:coreProperties>
</file>