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FD80" w14:textId="77777777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NAZIV OBVEZNIKA:                                                       </w:t>
      </w:r>
    </w:p>
    <w:p w14:paraId="331CC072" w14:textId="29BDC627" w:rsidR="00650DFA" w:rsidRPr="00D577BC" w:rsidRDefault="00650DFA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OSNOVNA ŠKOLA DR. JURE TURIĆA                                                         </w:t>
      </w:r>
    </w:p>
    <w:p w14:paraId="710FAB81" w14:textId="77777777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ADRESA OBVEZNIKA:  </w:t>
      </w:r>
    </w:p>
    <w:p w14:paraId="013368C1" w14:textId="4516DC37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MIROSLAVA KRALJEVIĆA</w:t>
      </w:r>
      <w:r w:rsidR="002B474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15</w:t>
      </w:r>
    </w:p>
    <w:p w14:paraId="2C467561" w14:textId="77777777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53 000 GOSPIĆ</w:t>
      </w:r>
    </w:p>
    <w:p w14:paraId="69960320" w14:textId="06E5D2DB" w:rsidR="0069140E" w:rsidRPr="00D577BC" w:rsidRDefault="0069140E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e-mail : </w:t>
      </w:r>
      <w:hyperlink r:id="rId8" w:history="1">
        <w:r w:rsidRPr="00D577BC">
          <w:rPr>
            <w:rStyle w:val="Hyperlink"/>
            <w:rFonts w:asciiTheme="minorHAnsi" w:hAnsiTheme="minorHAnsi" w:cstheme="minorHAnsi"/>
            <w:sz w:val="24"/>
            <w:szCs w:val="24"/>
            <w:lang w:val="hr-HR"/>
          </w:rPr>
          <w:t>ana.brkljacic4@skole.hr</w:t>
        </w:r>
      </w:hyperlink>
    </w:p>
    <w:p w14:paraId="6651D780" w14:textId="6325BE54" w:rsidR="0069140E" w:rsidRPr="00D577BC" w:rsidRDefault="0069140E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Tel. 053/560-142</w:t>
      </w:r>
    </w:p>
    <w:p w14:paraId="2611C5BC" w14:textId="190B05EC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OIB:</w:t>
      </w:r>
      <w:r w:rsidR="002B474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>81152039635</w:t>
      </w:r>
    </w:p>
    <w:p w14:paraId="0A831B03" w14:textId="4DFD9773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MATIČNI BROJ ŠKOLE:</w:t>
      </w:r>
      <w:r w:rsidR="002F7CE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0331550                                                </w:t>
      </w:r>
    </w:p>
    <w:p w14:paraId="1200EDB6" w14:textId="4BF5B3EF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IBAN:</w:t>
      </w:r>
      <w:r w:rsidR="002F7CE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HR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>3223900011100399111</w:t>
      </w:r>
    </w:p>
    <w:p w14:paraId="48AC1584" w14:textId="77777777" w:rsidR="00A627D4" w:rsidRPr="00D577BC" w:rsidRDefault="00A627D4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CC23DDA" w14:textId="77777777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2CB7FF5" w14:textId="1E414B70" w:rsidR="00650DFA" w:rsidRPr="00D577BC" w:rsidRDefault="00650DFA" w:rsidP="00C95985">
      <w:pPr>
        <w:jc w:val="both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OBRAZLOŽENJE </w:t>
      </w:r>
      <w:r w:rsidR="00D577BC" w:rsidRPr="00D577BC">
        <w:rPr>
          <w:rFonts w:asciiTheme="minorHAnsi" w:hAnsiTheme="minorHAnsi" w:cstheme="minorHAnsi"/>
          <w:b/>
          <w:sz w:val="32"/>
          <w:szCs w:val="32"/>
          <w:lang w:val="hr-HR"/>
        </w:rPr>
        <w:t>FINANCIJSKOG PLANA OSNOVNE ŠKOLE DR. JURE TURIĆA</w:t>
      </w: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 ZA 202</w:t>
      </w:r>
      <w:r w:rsidR="007421FA">
        <w:rPr>
          <w:rFonts w:asciiTheme="minorHAnsi" w:hAnsiTheme="minorHAnsi" w:cstheme="minorHAnsi"/>
          <w:b/>
          <w:sz w:val="32"/>
          <w:szCs w:val="32"/>
          <w:lang w:val="hr-HR"/>
        </w:rPr>
        <w:t>5</w:t>
      </w: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. GODINU </w:t>
      </w:r>
    </w:p>
    <w:p w14:paraId="4600C94E" w14:textId="77777777" w:rsidR="00D577BC" w:rsidRPr="00D577BC" w:rsidRDefault="00D577BC" w:rsidP="00C95985">
      <w:pPr>
        <w:jc w:val="both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14:paraId="4534FD13" w14:textId="77777777" w:rsidR="00650DFA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E88ACCC" w14:textId="10B4B266" w:rsidR="00725CB4" w:rsidRPr="00D577BC" w:rsidRDefault="00725CB4" w:rsidP="00C95985">
      <w:pPr>
        <w:pStyle w:val="NoSpacing"/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Obrazloženje </w:t>
      </w:r>
      <w:r w:rsidR="00D577BC" w:rsidRPr="00D577BC">
        <w:rPr>
          <w:rFonts w:cstheme="minorHAnsi"/>
          <w:sz w:val="24"/>
          <w:szCs w:val="24"/>
        </w:rPr>
        <w:t>F</w:t>
      </w:r>
      <w:r w:rsidRPr="00D577BC">
        <w:rPr>
          <w:rFonts w:cstheme="minorHAnsi"/>
          <w:sz w:val="24"/>
          <w:szCs w:val="24"/>
        </w:rPr>
        <w:t xml:space="preserve">inancijskog plana </w:t>
      </w:r>
      <w:r w:rsidR="00D577BC" w:rsidRPr="00D577BC">
        <w:rPr>
          <w:rFonts w:cstheme="minorHAnsi"/>
          <w:sz w:val="24"/>
          <w:szCs w:val="24"/>
        </w:rPr>
        <w:t>za razdoblje od 01.01.202</w:t>
      </w:r>
      <w:r w:rsidR="007421FA">
        <w:rPr>
          <w:rFonts w:cstheme="minorHAnsi"/>
          <w:sz w:val="24"/>
          <w:szCs w:val="24"/>
        </w:rPr>
        <w:t>5</w:t>
      </w:r>
      <w:r w:rsidR="00D577BC" w:rsidRPr="00D577BC">
        <w:rPr>
          <w:rFonts w:cstheme="minorHAnsi"/>
          <w:sz w:val="24"/>
          <w:szCs w:val="24"/>
        </w:rPr>
        <w:t>. do 31.12.202</w:t>
      </w:r>
      <w:r w:rsidR="007421FA">
        <w:rPr>
          <w:rFonts w:cstheme="minorHAnsi"/>
          <w:sz w:val="24"/>
          <w:szCs w:val="24"/>
        </w:rPr>
        <w:t>5</w:t>
      </w:r>
      <w:r w:rsidR="00D577BC" w:rsidRPr="00D577BC">
        <w:rPr>
          <w:rFonts w:cstheme="minorHAnsi"/>
          <w:sz w:val="24"/>
          <w:szCs w:val="24"/>
        </w:rPr>
        <w:t xml:space="preserve">.godine </w:t>
      </w:r>
      <w:r w:rsidRPr="00D577BC">
        <w:rPr>
          <w:rFonts w:cstheme="minorHAnsi"/>
          <w:sz w:val="24"/>
          <w:szCs w:val="24"/>
        </w:rPr>
        <w:t>Osnovne škole dr.</w:t>
      </w:r>
      <w:r w:rsidR="0015401E">
        <w:rPr>
          <w:rFonts w:cstheme="minorHAnsi"/>
          <w:sz w:val="24"/>
          <w:szCs w:val="24"/>
        </w:rPr>
        <w:t xml:space="preserve"> </w:t>
      </w:r>
      <w:r w:rsidRPr="00D577BC">
        <w:rPr>
          <w:rFonts w:cstheme="minorHAnsi"/>
          <w:sz w:val="24"/>
          <w:szCs w:val="24"/>
        </w:rPr>
        <w:t xml:space="preserve">Jure </w:t>
      </w:r>
      <w:proofErr w:type="spellStart"/>
      <w:r w:rsidRPr="00D577BC">
        <w:rPr>
          <w:rFonts w:cstheme="minorHAnsi"/>
          <w:sz w:val="24"/>
          <w:szCs w:val="24"/>
        </w:rPr>
        <w:t>Turića</w:t>
      </w:r>
      <w:proofErr w:type="spellEnd"/>
      <w:r w:rsidRPr="00D577BC">
        <w:rPr>
          <w:rFonts w:cstheme="minorHAnsi"/>
          <w:sz w:val="24"/>
          <w:szCs w:val="24"/>
        </w:rPr>
        <w:t xml:space="preserve">, sastoji se od: </w:t>
      </w:r>
    </w:p>
    <w:p w14:paraId="16895DF0" w14:textId="2B53E1BA" w:rsidR="00725CB4" w:rsidRPr="00D577BC" w:rsidRDefault="00725CB4" w:rsidP="00C95985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Opći dio </w:t>
      </w:r>
    </w:p>
    <w:p w14:paraId="621DEFD4" w14:textId="01A8426D" w:rsidR="00725CB4" w:rsidRPr="00D577BC" w:rsidRDefault="00725CB4" w:rsidP="00C95985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Posebni dio </w:t>
      </w:r>
    </w:p>
    <w:p w14:paraId="7634A0CD" w14:textId="77777777" w:rsidR="00725CB4" w:rsidRPr="00D577BC" w:rsidRDefault="00725CB4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1401139" w14:textId="77777777" w:rsidR="00725CB4" w:rsidRPr="00D577BC" w:rsidRDefault="00725CB4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FCA5937" w14:textId="5C09DBBF" w:rsidR="00725CB4" w:rsidRPr="00D577BC" w:rsidRDefault="00725CB4" w:rsidP="00C95985">
      <w:pPr>
        <w:jc w:val="both"/>
        <w:rPr>
          <w:rFonts w:asciiTheme="minorHAnsi" w:hAnsiTheme="minorHAnsi" w:cstheme="minorHAnsi"/>
          <w:b/>
          <w:bCs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bCs/>
          <w:sz w:val="32"/>
          <w:szCs w:val="32"/>
          <w:lang w:val="hr-HR"/>
        </w:rPr>
        <w:t>1.Opći dio</w:t>
      </w:r>
    </w:p>
    <w:p w14:paraId="16D15F1D" w14:textId="77777777" w:rsidR="00725CB4" w:rsidRPr="00D577BC" w:rsidRDefault="00725CB4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1B74C1A" w14:textId="77777777" w:rsidR="00725CB4" w:rsidRPr="00D577BC" w:rsidRDefault="00725CB4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6F1B822" w14:textId="2E0BA481" w:rsidR="00650DFA" w:rsidRPr="00D577BC" w:rsidRDefault="00E003A0" w:rsidP="00C95985">
      <w:pPr>
        <w:pStyle w:val="ListParagraph"/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577B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50DFA" w:rsidRPr="00D577BC">
        <w:rPr>
          <w:rFonts w:asciiTheme="minorHAnsi" w:hAnsiTheme="minorHAnsi" w:cstheme="minorHAnsi"/>
          <w:b/>
          <w:sz w:val="28"/>
          <w:szCs w:val="28"/>
        </w:rPr>
        <w:t>Sažetak rada proračunskog korisnika</w:t>
      </w:r>
    </w:p>
    <w:p w14:paraId="7995CE77" w14:textId="77777777" w:rsidR="00E003A0" w:rsidRPr="00D577BC" w:rsidRDefault="00E003A0" w:rsidP="00C95985">
      <w:pPr>
        <w:pStyle w:val="ListParagraph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5DA904" w14:textId="27028624" w:rsidR="003E7D40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Početak osnovnog školstva u Gospiću datira od 1766. godine. Broj učenika varirao je s tendencijom pada sve do početka domovinskog rata. Tako je 1970. godine u dvije gospićke osnovne škole s područnim školama bilo 1893 učenika.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>1972. godine izgrađena je nova zgrada u kojoj su boravile obje gospićke škole, a sedam godina kasnije dolazi do spajanja škola u jednu osnovnu školu.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1990. godine školu polazi 1100 učenika, dok je u 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>D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omovinskom ratu broj učenika varirao, ovisno o sigurnosnim uvjetima. Te godine škola dobiva ime po znamenitom hrvatskom književniku i pedagogu s početka 20. stoljeća dr. Juri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Turiću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>, rođenom 3. svibnja 1861. godine u Gospiću. U znak sjećanja i zahvalnosti naša škola osim što nosi njegovo ime – obilježava Dan škole na dan njegova rođenja.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Na području naselja Gospić nekoć je bilo 15 područnih škola, a zadnjih nekoliko godina nastava se odvija samo u četiri područne škole (PŠ Smiljan, PŠ Bilaj, PŠ L. Novi, PŠ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Brušane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>).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Od 2007. godine pri osnovnoj školi dr. Jure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djeluje i osnovna glazbena škola te obavlja djelatnost umjetničkog školovanja za instrumente klavir, harmoniku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, gitaru, violinu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 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tambur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u. 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U školskoj godini 20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3E7D40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/202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. upis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ano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je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56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glazbenu školu.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Nastava u školskoj godini 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./202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odvija se u 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jednoj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smjen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Početak nastave za učenike je 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u 8.00 sati, a završetak prema dnevnom rasporedu sati. Nastava u područnim školama za učenike razredne nastave također se odvija prijepodne. </w:t>
      </w:r>
    </w:p>
    <w:p w14:paraId="5172DC87" w14:textId="5B7351AD" w:rsidR="00A372B3" w:rsidRPr="00D577BC" w:rsidRDefault="00A372B3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U školskoj 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./202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godini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14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s teškoćama u razvoju imaju 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>1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pomoćnika u nastavi putem projekta “Korak prema jednakosti” čiji je nositelj Grad Gospić. </w:t>
      </w:r>
    </w:p>
    <w:p w14:paraId="7F9BAC57" w14:textId="27379CF7" w:rsidR="00E142BE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Naša škola iznimno njeguje tradiciju i kulturnu baštinu Like kroz folklornu skupinu „Degenija“ i Učeničku zadrugu ”Vodarica Marta”. 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Također, od 2007. godine u projektu smo UNICEF-a „Mreža škola bez nasilja“.</w:t>
      </w:r>
    </w:p>
    <w:p w14:paraId="2BF5822A" w14:textId="66DC8456" w:rsidR="008F4330" w:rsidRPr="00D577BC" w:rsidRDefault="00357ED6" w:rsidP="00C95985">
      <w:pPr>
        <w:jc w:val="both"/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  <w:t>Planiranim aktivnostima, programima i projektima težimo kvalitetnim rezultatima ostvariti ciljeve usmjerene na učenika i njegov razvoj, stručnu samostalnost i odgovornost učitelja, samostalnost i razvoj škole te uz potporu uže i šire društvene zajednice doprinijeti izgradnji učinkovitog i kvalitetnog školovanja učenika naše škole.</w:t>
      </w:r>
    </w:p>
    <w:p w14:paraId="048F427A" w14:textId="1AA3A644" w:rsidR="00437517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Škola je u cijelosti opremljena žičanom i bežičnom internet mrežom, računalima, projektorima i projekcijskim platnima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. R</w:t>
      </w:r>
      <w:r w:rsidR="008F4330" w:rsidRPr="00D577BC">
        <w:rPr>
          <w:rFonts w:asciiTheme="minorHAnsi" w:hAnsiTheme="minorHAnsi" w:cstheme="minorHAnsi"/>
          <w:sz w:val="24"/>
          <w:szCs w:val="24"/>
          <w:lang w:val="hr-HR"/>
        </w:rPr>
        <w:t>ačunalima za sve učitelje te printeri i projektori za sve područne škole.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Većina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učionic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razredne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 xml:space="preserve">nastave ima 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pametne </w:t>
      </w:r>
      <w:r w:rsidR="002C422E" w:rsidRPr="00D577BC">
        <w:rPr>
          <w:rFonts w:asciiTheme="minorHAnsi" w:hAnsiTheme="minorHAnsi" w:cstheme="minorHAnsi"/>
          <w:sz w:val="24"/>
          <w:szCs w:val="24"/>
          <w:lang w:val="hr-HR"/>
        </w:rPr>
        <w:t>(interaktivne) ploče</w:t>
      </w:r>
      <w:r w:rsidR="00A14CC6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522DF104" w14:textId="77777777" w:rsidR="00CF6EE3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školskoj 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A372B3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/202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godini škola broji </w:t>
      </w:r>
      <w:r w:rsidR="004D632C" w:rsidRPr="00D577BC">
        <w:rPr>
          <w:rFonts w:asciiTheme="minorHAnsi" w:hAnsiTheme="minorHAnsi" w:cstheme="minorHAnsi"/>
          <w:sz w:val="24"/>
          <w:szCs w:val="24"/>
          <w:lang w:val="hr-HR"/>
        </w:rPr>
        <w:t>7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48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u 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42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razredn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odjela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matičnoj školi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četiri 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>područ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ne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ško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le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14:paraId="2730AA45" w14:textId="6BCAA356" w:rsidR="005B2762" w:rsidRPr="00D577BC" w:rsidRDefault="00650DFA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U školi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su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ustrojen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F6EE3">
        <w:rPr>
          <w:rFonts w:asciiTheme="minorHAnsi" w:hAnsiTheme="minorHAnsi" w:cstheme="minorHAnsi"/>
          <w:sz w:val="24"/>
          <w:szCs w:val="24"/>
          <w:lang w:val="hr-HR"/>
        </w:rPr>
        <w:t>tri</w:t>
      </w:r>
      <w:r w:rsidR="004D632C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odjela produženog boravka za </w:t>
      </w:r>
      <w:r w:rsidR="00CF6EE3">
        <w:rPr>
          <w:rFonts w:asciiTheme="minorHAnsi" w:hAnsiTheme="minorHAnsi" w:cstheme="minorHAnsi"/>
          <w:sz w:val="24"/>
          <w:szCs w:val="24"/>
          <w:lang w:val="hr-HR"/>
        </w:rPr>
        <w:t>83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prvih</w:t>
      </w:r>
      <w:r w:rsidR="00776DDC">
        <w:rPr>
          <w:rFonts w:asciiTheme="minorHAnsi" w:hAnsiTheme="minorHAnsi" w:cstheme="minorHAnsi"/>
          <w:sz w:val="24"/>
          <w:szCs w:val="24"/>
          <w:lang w:val="hr-HR"/>
        </w:rPr>
        <w:t xml:space="preserve"> i drugih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r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azreda, a ustrojen je i odjel posebnog programa </w:t>
      </w:r>
      <w:r w:rsidR="00357ED6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dva razredna odjela,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za učenik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 teškoćama u razvoju s područja Ličko -senjske</w:t>
      </w:r>
      <w:r w:rsidR="003F3040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županije</w:t>
      </w:r>
      <w:r w:rsidR="00A372B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Prijevoz učenika putnika posebno je organiziran, a prijevoznik je “Autotrans</w:t>
      </w:r>
      <w:r w:rsidR="00666173" w:rsidRPr="00D577BC">
        <w:rPr>
          <w:rFonts w:asciiTheme="minorHAnsi" w:hAnsiTheme="minorHAnsi" w:cstheme="minorHAnsi"/>
          <w:sz w:val="24"/>
          <w:szCs w:val="24"/>
          <w:lang w:val="hr-HR"/>
        </w:rPr>
        <w:t>”.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58C0FEC0" w14:textId="28D7C069" w:rsidR="003938E6" w:rsidRPr="00D577BC" w:rsidRDefault="00650DFA" w:rsidP="00C959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U školi su zaposlena 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cca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1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20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djelatnika.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br/>
        <w:t>Škola raspolaže sa 4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kabineta za određeni predmet, školskom knjižnicom, dvoranom za tjelesnu i zdravstvenu kulturu, te školskom kuhinjom sa blagovaonicom.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Svim u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čenicima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razredne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predmetne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nastave 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te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produženog boravka 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je moguće tijekom boravka u školi konzumirati topli obrok</w:t>
      </w:r>
      <w:r w:rsidR="007B0FCD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koju u potpunosti financira MZO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M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. 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Kapacitet školske kuhinje je za oko 300-tinjak korisnika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te u 2021.godini 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smo proširili prostorije školske kuhinje, povećali skladišni prostor I samim tim olakšal</w:t>
      </w:r>
      <w:r w:rsidR="00A14CC6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rad naših kuharica.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Želja nam je u budućnosti izgraditi novu školsku kuhinju, veću blagovaonicu za učenike i samim tim lakšu organizaciju odlaska učenika u školsku kuhinju i konzumaciju obroka. </w:t>
      </w:r>
    </w:p>
    <w:p w14:paraId="461DE6AF" w14:textId="0F795F8B" w:rsidR="00DB5FB4" w:rsidRPr="00D577BC" w:rsidRDefault="00650DFA" w:rsidP="00C959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U sastavu škole je i gradsko-školska sportska dvorana s dva vanjska igrališta.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br/>
        <w:t>Od ostalog prostora škola raspolaže sa zbornicom, uredskim prostorima i ostalih pomoćnim prostorom koji nakon uređenja odgovaraju visokim standardima koje zahtjeva suvremeni školski prostor.</w:t>
      </w:r>
      <w:r w:rsidR="0014022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Trudimo se da naša škola doista bude škola znanja i u funkciji svakog učenika</w:t>
      </w:r>
      <w:r w:rsidR="0014022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</w:p>
    <w:p w14:paraId="52268AD4" w14:textId="5B373844" w:rsidR="00776DDC" w:rsidRDefault="007B0FCD" w:rsidP="00C959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U 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F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inancijskom planu za 202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. godinu 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od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kapitalnih ulaganja 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smo samo uvrstili zastore, klima uređaje te dva ormara,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zbog navedenih limita iz Uputa za izradu Proračuna Grada Gospića za razdoblje 202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 do 202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7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.godine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nismo u mogućnosti provesti dodatna ulaganja te nabavu potrebne  nam opreme. U planu nam je dio potrebnog uredskog namještaja 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odnosno klupa i stolica za učionice, 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nabaviti iz vlastitih sredstava. </w:t>
      </w:r>
    </w:p>
    <w:p w14:paraId="48C74D65" w14:textId="77777777" w:rsidR="00E003A0" w:rsidRPr="00D577BC" w:rsidRDefault="00E003A0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699DF027" w14:textId="77777777" w:rsidR="007C2EEE" w:rsidRDefault="007C2EEE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4E7D24EB" w14:textId="77777777" w:rsidR="00D577BC" w:rsidRDefault="00D577BC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7C064FE2" w14:textId="77777777" w:rsidR="00D577BC" w:rsidRDefault="00D577BC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69EFD3F1" w14:textId="77777777" w:rsidR="00D577BC" w:rsidRDefault="00D577BC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5A1F039" w14:textId="77777777" w:rsidR="00776DDC" w:rsidRDefault="00776DDC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D3E4BAA" w14:textId="77777777" w:rsidR="009D11C9" w:rsidRDefault="009D11C9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3364B5A4" w14:textId="77777777" w:rsidR="00D577BC" w:rsidRPr="00D577BC" w:rsidRDefault="00D577BC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427A8D6" w14:textId="058F6838" w:rsidR="00DB5FB4" w:rsidRPr="00D577BC" w:rsidRDefault="00725CB4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  <w:lastRenderedPageBreak/>
        <w:t>1.</w:t>
      </w:r>
      <w:r w:rsidR="00DB5FB4" w:rsidRPr="00D577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  <w:t>2. Obrazloženje programa</w:t>
      </w:r>
    </w:p>
    <w:p w14:paraId="52427C5A" w14:textId="77777777" w:rsidR="00E003A0" w:rsidRPr="00D577BC" w:rsidRDefault="00E003A0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084C461" w14:textId="77777777" w:rsidR="00DB5FB4" w:rsidRPr="00D577BC" w:rsidRDefault="00DB5FB4" w:rsidP="00C95985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</w:p>
    <w:p w14:paraId="006E7E48" w14:textId="77777777" w:rsidR="00DB5FB4" w:rsidRPr="00D577BC" w:rsidRDefault="00DB5FB4" w:rsidP="00C95985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Opis programa:</w:t>
      </w:r>
    </w:p>
    <w:p w14:paraId="29EF36BF" w14:textId="77777777" w:rsidR="00DB5FB4" w:rsidRPr="00D577BC" w:rsidRDefault="00DB5FB4" w:rsidP="00C95985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</w:p>
    <w:p w14:paraId="59141144" w14:textId="77777777" w:rsidR="00DB5FB4" w:rsidRPr="00D577BC" w:rsidRDefault="00DB5FB4" w:rsidP="00C9598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redovan osnovnoškolski program</w:t>
      </w:r>
    </w:p>
    <w:p w14:paraId="71E74105" w14:textId="40F0EB6F" w:rsidR="00DB5FB4" w:rsidRPr="00D577BC" w:rsidRDefault="00776DDC" w:rsidP="00C9598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dva</w:t>
      </w:r>
      <w:r w:rsidR="002C422E"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B5FB4"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odjel</w:t>
      </w:r>
      <w:r w:rsidR="001540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  <w:r w:rsidR="00DB5FB4"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posebnog programa</w:t>
      </w:r>
    </w:p>
    <w:p w14:paraId="4FB640C5" w14:textId="77777777" w:rsidR="00DB5FB4" w:rsidRPr="00D577BC" w:rsidRDefault="00DB5FB4" w:rsidP="00C9598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osnovna glazbena škola </w:t>
      </w:r>
    </w:p>
    <w:p w14:paraId="28BF15C3" w14:textId="77777777" w:rsidR="00DB5FB4" w:rsidRPr="00D577BC" w:rsidRDefault="00DB5FB4" w:rsidP="00C9598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program produženog boravka </w:t>
      </w:r>
    </w:p>
    <w:p w14:paraId="45B2AC09" w14:textId="77777777" w:rsidR="00DB5FB4" w:rsidRPr="00D577BC" w:rsidRDefault="00DB5FB4" w:rsidP="00C9598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informatike</w:t>
      </w:r>
    </w:p>
    <w:p w14:paraId="727EB912" w14:textId="77777777" w:rsidR="00DB5FB4" w:rsidRPr="00D577BC" w:rsidRDefault="00DB5FB4" w:rsidP="00C9598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njemačkog jezika</w:t>
      </w:r>
    </w:p>
    <w:p w14:paraId="476D62C9" w14:textId="7F64EC78" w:rsidR="008D3F48" w:rsidRDefault="00DB5FB4" w:rsidP="00C9598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vjeronauka</w:t>
      </w:r>
      <w:r w:rsid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(katolički i islamski)</w:t>
      </w:r>
    </w:p>
    <w:p w14:paraId="3F0CB964" w14:textId="77777777" w:rsidR="00DB5FB4" w:rsidRPr="00D577BC" w:rsidRDefault="00DB5FB4" w:rsidP="00C95985">
      <w:pPr>
        <w:ind w:left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63111FC" w14:textId="7584D863" w:rsidR="00DB5FB4" w:rsidRPr="00D577BC" w:rsidRDefault="00DB5FB4" w:rsidP="00C95985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 xml:space="preserve">Cilj programa je omogućavanje stjecanja novih znanja i vještina kroz redovan program i ostale oblike rada koji se organiziraju i provode u MŠ Gospić i PŠ Lički Novi, </w:t>
      </w:r>
      <w:proofErr w:type="spellStart"/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Brušane</w:t>
      </w:r>
      <w:proofErr w:type="spellEnd"/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, Smiljan i Bilaj. Izvannastavni programi za cilj imaju isticanje kreativnosti  polaznika, iskorištavanje slobodnog vremena na kreativan i kvalitetan način.</w:t>
      </w:r>
    </w:p>
    <w:p w14:paraId="038BED88" w14:textId="77777777" w:rsidR="00DB5FB4" w:rsidRPr="00D577BC" w:rsidRDefault="00DB5F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A242CFC" w14:textId="77777777" w:rsidR="00DB5FB4" w:rsidRPr="00D577BC" w:rsidRDefault="00DB5F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8DE8A53" w14:textId="3BA05912" w:rsidR="00DB5FB4" w:rsidRPr="00D577BC" w:rsidRDefault="00725CB4" w:rsidP="00C95985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3. Zakonske i druge podloge na kojima se zasniva program rada škole </w:t>
      </w:r>
    </w:p>
    <w:p w14:paraId="1C6D76A2" w14:textId="77777777" w:rsidR="00DB5FB4" w:rsidRPr="00D577BC" w:rsidRDefault="00DB5FB4" w:rsidP="00C95985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E6CEE95" w14:textId="77777777" w:rsidR="00DB5FB4" w:rsidRPr="00D577BC" w:rsidRDefault="00DB5FB4" w:rsidP="00C95985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40999C8" w14:textId="4182B2F8" w:rsidR="00DB5FB4" w:rsidRPr="00D577BC" w:rsidRDefault="00DB5FB4" w:rsidP="00C95985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ustanovama, (NN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76/93, 29/97, 47/99, 35/08</w:t>
      </w:r>
      <w:r w:rsidR="003F2813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, 127/19,151/22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F5D445B" w14:textId="7FF0234F" w:rsidR="00DB5FB4" w:rsidRPr="00D577BC" w:rsidRDefault="00DB5FB4" w:rsidP="00C95985">
      <w:pPr>
        <w:pStyle w:val="ListParagraph"/>
        <w:ind w:left="142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odgoju i obrazovanju, (NN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87/08, 86/09, 92/10, 105/10, 90/11, 5/12, 16/12, 86/12, 126/12, 94/13, 152/14, 07/17, 68/18</w:t>
      </w:r>
      <w:r w:rsidR="003F2813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, 98/19, 64/2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3F2813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, 151/22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8142176" w14:textId="16DA0386" w:rsidR="00DB5FB4" w:rsidRPr="00D577BC" w:rsidRDefault="00DB5FB4" w:rsidP="00C95985">
      <w:pPr>
        <w:pStyle w:val="ListParagraph"/>
        <w:ind w:left="142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Državni pedagoški standard osnovnoškolskog sustava odgoja i obrazovanja (NN 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63/08, 90/10)</w:t>
      </w:r>
    </w:p>
    <w:p w14:paraId="175493DF" w14:textId="1D640537" w:rsidR="00DB5FB4" w:rsidRPr="00D577BC" w:rsidRDefault="00DB5FB4" w:rsidP="00C95985">
      <w:pPr>
        <w:pStyle w:val="ListParagraph"/>
        <w:ind w:left="142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proračunu, (NN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br.: 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144/21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Pravilnik o 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planiranju u sustavu proračuna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(NN 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1/2024), Pravilnik o proračunskim klasifikacijama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(N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>4/24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 i Pravilnik o proračunskom računovodstvu i računskom planu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(NN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>158/23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2B989FC" w14:textId="5739C0DF" w:rsidR="00DB5FB4" w:rsidRPr="00D577BC" w:rsidRDefault="00DB5FB4" w:rsidP="00C95985">
      <w:pPr>
        <w:pStyle w:val="ListParagraph"/>
        <w:ind w:left="142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Upute za izradu 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roračuna Grada Gospića za razdoblje 202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.-202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42EF5653" w14:textId="77777777" w:rsidR="00DB5FB4" w:rsidRPr="00D577BC" w:rsidRDefault="00DB5FB4" w:rsidP="00C95985">
      <w:pPr>
        <w:pStyle w:val="ListParagraph"/>
        <w:ind w:left="142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CF7675" w14:textId="77777777" w:rsidR="00DB5FB4" w:rsidRPr="00D577BC" w:rsidRDefault="00DB5FB4" w:rsidP="00C95985">
      <w:pPr>
        <w:pStyle w:val="ListParagraph"/>
        <w:ind w:left="142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004B36" w14:textId="77777777" w:rsidR="00DB5FB4" w:rsidRPr="00D577BC" w:rsidRDefault="00DB5FB4" w:rsidP="00C95985">
      <w:pPr>
        <w:pStyle w:val="ListParagraph"/>
        <w:ind w:left="142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520EE3" w14:textId="59FE6292" w:rsidR="00DB5FB4" w:rsidRPr="00D577BC" w:rsidRDefault="00725CB4" w:rsidP="00C95985">
      <w:pPr>
        <w:pStyle w:val="ListParagraph"/>
        <w:ind w:left="142" w:hanging="142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4. Usklađenost ciljeva, strategije i programa s dokumentima dugoročnog razvoja</w:t>
      </w:r>
    </w:p>
    <w:p w14:paraId="3112041D" w14:textId="77777777" w:rsidR="00DB5FB4" w:rsidRPr="00D577BC" w:rsidRDefault="00DB5FB4" w:rsidP="00C95985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940BE9" w14:textId="2128CD79" w:rsidR="00DB5FB4" w:rsidRPr="00D577BC" w:rsidRDefault="00DB5FB4" w:rsidP="00C95985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Školske ustanove ne donose strateške, već godišnje operativne planove (Godišnji plan i program rada i Školski kurikulum) prema planu i programu koje je donijelo Ministarstvo znanosti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obrazovanja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mladih</w:t>
      </w:r>
      <w:r w:rsidR="00BD37F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938E6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Svi planovi su na stranicama 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škole </w:t>
      </w:r>
      <w:hyperlink r:id="rId9" w:history="1">
        <w:r w:rsidR="00E32712" w:rsidRPr="00C77142">
          <w:rPr>
            <w:rStyle w:val="Hyperlink"/>
            <w:rFonts w:asciiTheme="minorHAnsi" w:hAnsiTheme="minorHAnsi" w:cstheme="minorHAnsi"/>
            <w:sz w:val="24"/>
            <w:szCs w:val="24"/>
          </w:rPr>
          <w:t>https://os-gospic.hr/dokumenti/obrazovanje/planovi</w:t>
        </w:r>
      </w:hyperlink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.</w:t>
      </w:r>
    </w:p>
    <w:p w14:paraId="6099A73C" w14:textId="35011BF4" w:rsidR="00DB5FB4" w:rsidRPr="00D577BC" w:rsidRDefault="00725CB4" w:rsidP="00C95985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5. Ishodište i pokazatelji na kojima se zasnivaju izračuni i ocjene potrebnih sredstava za provođenje programa </w:t>
      </w:r>
    </w:p>
    <w:p w14:paraId="01B18E7B" w14:textId="77777777" w:rsidR="00DB5FB4" w:rsidRPr="00D577BC" w:rsidRDefault="00DB5F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3B3A475" w14:textId="64947303" w:rsidR="00DB5FB4" w:rsidRDefault="00DB5F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Izvori sredstava za financiranje rada OŠ dr. Jure </w:t>
      </w:r>
      <w:proofErr w:type="spellStart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Turića</w:t>
      </w:r>
      <w:proofErr w:type="spellEnd"/>
      <w:r w:rsidR="00F400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su: </w:t>
      </w:r>
      <w:r w:rsidR="002B0F4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4726FE9B" w14:textId="77777777" w:rsidR="002B0F4C" w:rsidRPr="00D577BC" w:rsidRDefault="002B0F4C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DB8D094" w14:textId="77777777" w:rsidR="00DB5FB4" w:rsidRPr="00D577BC" w:rsidRDefault="00DB5F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2B4743" w:rsidRPr="00D577BC" w14:paraId="7666EF71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6B7D2" w14:textId="2CD14ED3" w:rsidR="00DB5FB4" w:rsidRPr="00D577BC" w:rsidRDefault="00DB5FB4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6361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–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Tekuće pomoći proračunskim korisnicima iz proračuna koji im nije nadležan </w:t>
            </w:r>
          </w:p>
        </w:tc>
      </w:tr>
      <w:tr w:rsidR="002B4743" w:rsidRPr="00D577BC" w14:paraId="4F2B5CA3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B821C" w14:textId="12A1F39E" w:rsidR="00D174A4" w:rsidRPr="00D577BC" w:rsidRDefault="00D174A4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639</w:t>
            </w:r>
            <w:r w:rsidR="008753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–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Tekući prijenos između proračunskih korisnika istog proračuna temeljem prijenosa EU sredstava (Projekt "Korak prema jednakosti")</w:t>
            </w:r>
          </w:p>
        </w:tc>
      </w:tr>
      <w:tr w:rsidR="008753C7" w:rsidRPr="00D577BC" w14:paraId="27737888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444E2" w14:textId="6A6C775F" w:rsidR="008753C7" w:rsidRPr="00D577BC" w:rsidRDefault="008753C7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6331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Tekuće pomoći iz županijskog proračuna</w:t>
            </w:r>
          </w:p>
        </w:tc>
      </w:tr>
      <w:tr w:rsidR="008753C7" w:rsidRPr="00D577BC" w14:paraId="376BB7B9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C19EE" w14:textId="1CA4AFC0" w:rsidR="008753C7" w:rsidRDefault="008753C7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6381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Tekuće pomoći prijenosa EU sredstava</w:t>
            </w:r>
          </w:p>
        </w:tc>
      </w:tr>
      <w:tr w:rsidR="002B4743" w:rsidRPr="00D577BC" w14:paraId="53CF8714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8DCBC8" w14:textId="49D8D04D" w:rsidR="00DB5FB4" w:rsidRPr="00D577BC" w:rsidRDefault="00D174A4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6413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– 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Kamate na oročena sredstva i depozite po viđenju</w:t>
            </w:r>
          </w:p>
        </w:tc>
      </w:tr>
      <w:tr w:rsidR="002B4743" w:rsidRPr="00D577BC" w14:paraId="0ABE0DCA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DF8C9" w14:textId="08A4D82C" w:rsidR="00D174A4" w:rsidRPr="00D577BC" w:rsidRDefault="00D174A4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6526 – Ostali nespomenuti prihodi (glazbena škola, produženi boravak, 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učenička zadruga, 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osiguranje učenika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  <w:tr w:rsidR="002B4743" w:rsidRPr="00D577BC" w14:paraId="4E5F4017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3BEE6" w14:textId="2FB12C2B" w:rsidR="00D174A4" w:rsidRPr="00D577BC" w:rsidRDefault="00D174A4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6615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–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Prihodi od pruženih usluga (najam prostora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školskog prostora i gradske sportske dvorane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  <w:tr w:rsidR="002B4743" w:rsidRPr="00D577BC" w14:paraId="7806182D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2A9796" w14:textId="477F3C81" w:rsidR="00D174A4" w:rsidRPr="00D577BC" w:rsidRDefault="00D174A4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6631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–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67481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Tekuće donacije</w:t>
            </w:r>
          </w:p>
        </w:tc>
      </w:tr>
      <w:tr w:rsidR="002B4743" w:rsidRPr="00D577BC" w14:paraId="020EA77A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DA6984" w14:textId="59A598EA" w:rsidR="00674816" w:rsidRPr="00D577BC" w:rsidRDefault="00674816" w:rsidP="00C9598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6711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– 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Prihodi iz nadležnog proračuna za financiranje rashoda poslovanja (Decentralizirane funkcije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, </w:t>
            </w:r>
            <w:r w:rsidR="00084841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lokalni proračun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</w:tbl>
    <w:p w14:paraId="073BA17B" w14:textId="77777777" w:rsidR="00DB5FB4" w:rsidRPr="00D577BC" w:rsidRDefault="00DB5F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5AE9AF8" w14:textId="1944198A" w:rsidR="00DB5FB4" w:rsidRPr="00D577BC" w:rsidRDefault="00674816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hr-HR"/>
        </w:rPr>
        <w:br/>
      </w:r>
      <w:r w:rsidR="00FA2E45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667BD7CD" w14:textId="77777777" w:rsidR="00FA2E45" w:rsidRPr="00D577BC" w:rsidRDefault="00FA2E45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812BB83" w14:textId="77777777" w:rsidR="000A1154" w:rsidRPr="00D577BC" w:rsidRDefault="000A115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1B05F44" w14:textId="77777777" w:rsidR="000A1154" w:rsidRPr="00D577BC" w:rsidRDefault="000A115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64382E7" w14:textId="77777777" w:rsidR="000A1154" w:rsidRPr="00D577BC" w:rsidRDefault="000A115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701B189" w14:textId="77777777" w:rsidR="000A1154" w:rsidRPr="00D577BC" w:rsidRDefault="000A115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7049189" w14:textId="77777777" w:rsidR="000A1154" w:rsidRPr="00D577BC" w:rsidRDefault="000A115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5501A86" w14:textId="77777777" w:rsidR="000A1154" w:rsidRPr="00D577BC" w:rsidRDefault="000A115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D1653C8" w14:textId="49BF57E8" w:rsidR="000A1154" w:rsidRPr="00D577BC" w:rsidRDefault="000A115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C9C38F8" w14:textId="20426C32" w:rsidR="00744A1F" w:rsidRPr="00D577BC" w:rsidRDefault="00744A1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F3D756F" w14:textId="63CEF0CC" w:rsidR="00744A1F" w:rsidRPr="00D577BC" w:rsidRDefault="00744A1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6D4E37F" w14:textId="77777777" w:rsidR="00725CB4" w:rsidRPr="00D577BC" w:rsidRDefault="00725C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13F57C5" w14:textId="77777777" w:rsidR="00725CB4" w:rsidRDefault="00725C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997DEF6" w14:textId="77777777" w:rsidR="009D11C9" w:rsidRPr="00D577BC" w:rsidRDefault="009D11C9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73B7FDE" w14:textId="77777777" w:rsidR="00725CB4" w:rsidRPr="00D577BC" w:rsidRDefault="00725C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210785D" w14:textId="77777777" w:rsidR="00725CB4" w:rsidRPr="00D577BC" w:rsidRDefault="00725C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32134E3" w14:textId="62A7F75E" w:rsidR="00FA2E45" w:rsidRPr="00D577BC" w:rsidRDefault="00725CB4" w:rsidP="00C95985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  <w:lastRenderedPageBreak/>
        <w:t>1.</w:t>
      </w:r>
      <w:r w:rsidR="00FA2E45" w:rsidRPr="00D577BC"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  <w:t>6. Izvještaj o postignutim ciljevima  i rezultatima programa temeljenim na pokazateljima uspješnosti iz nadležnosti proračunskog korisnika u prethodnoj godini</w:t>
      </w:r>
    </w:p>
    <w:p w14:paraId="3BF6C3BA" w14:textId="77777777" w:rsidR="00FA2E45" w:rsidRPr="00D577BC" w:rsidRDefault="00FA2E45" w:rsidP="00C9598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</w:p>
    <w:p w14:paraId="04BF998E" w14:textId="77777777" w:rsidR="00FA2E45" w:rsidRPr="00D577BC" w:rsidRDefault="00FA2E45" w:rsidP="00C9598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</w:p>
    <w:p w14:paraId="5EE9CE43" w14:textId="21EBBAE5" w:rsidR="000F5A1F" w:rsidRPr="00D577BC" w:rsidRDefault="00FA2E45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U 20</w:t>
      </w:r>
      <w:r w:rsidR="0008484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3</w:t>
      </w:r>
      <w:r w:rsidR="00725CB4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./202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. godini Osnovna škola dr. Jure </w:t>
      </w:r>
      <w:proofErr w:type="spellStart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realizirala je sve obveze utvrđene Godišnjim planom i programom rada i postigla značajne odgojno-obrazovne rezultate u redovitoj nastavi i izvannastavnim aktivnostima. Škola je sudjelovala i u nizu projekata koji su financirani iz različitih izvora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  <w:r w:rsidR="000F5A1F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2D28E632" w14:textId="77777777" w:rsidR="006A2A1D" w:rsidRPr="00D577BC" w:rsidRDefault="006A2A1D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A6D55C6" w14:textId="42AD1071" w:rsidR="000F5A1F" w:rsidRPr="00D577BC" w:rsidRDefault="00744A1F" w:rsidP="00C9598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Ministarstvo znanosti</w:t>
      </w:r>
      <w:r w:rsidR="002B0F4C">
        <w:rPr>
          <w:rFonts w:asciiTheme="minorHAnsi" w:hAnsiTheme="minorHAnsi" w:cstheme="minorHAnsi"/>
          <w:color w:val="000000" w:themeColor="text1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</w:rPr>
        <w:t>obrazovanja</w:t>
      </w:r>
      <w:r w:rsidR="002B0F4C">
        <w:rPr>
          <w:rFonts w:asciiTheme="minorHAnsi" w:hAnsiTheme="minorHAnsi" w:cstheme="minorHAnsi"/>
          <w:color w:val="000000" w:themeColor="text1"/>
        </w:rPr>
        <w:t xml:space="preserve"> i mladih</w:t>
      </w:r>
      <w:r w:rsidRPr="00D577BC">
        <w:rPr>
          <w:rFonts w:asciiTheme="minorHAnsi" w:hAnsiTheme="minorHAnsi" w:cstheme="minorHAnsi"/>
          <w:color w:val="000000" w:themeColor="text1"/>
        </w:rPr>
        <w:t xml:space="preserve"> za školsku godinu 202</w:t>
      </w:r>
      <w:r w:rsidR="000F01C0">
        <w:rPr>
          <w:rFonts w:asciiTheme="minorHAnsi" w:hAnsiTheme="minorHAnsi" w:cstheme="minorHAnsi"/>
          <w:color w:val="000000" w:themeColor="text1"/>
        </w:rPr>
        <w:t>4</w:t>
      </w:r>
      <w:r w:rsidRPr="00D577BC">
        <w:rPr>
          <w:rFonts w:asciiTheme="minorHAnsi" w:hAnsiTheme="minorHAnsi" w:cstheme="minorHAnsi"/>
          <w:color w:val="000000" w:themeColor="text1"/>
        </w:rPr>
        <w:t>./202</w:t>
      </w:r>
      <w:r w:rsidR="000F01C0">
        <w:rPr>
          <w:rFonts w:asciiTheme="minorHAnsi" w:hAnsiTheme="minorHAnsi" w:cstheme="minorHAnsi"/>
          <w:color w:val="000000" w:themeColor="text1"/>
        </w:rPr>
        <w:t>5</w:t>
      </w:r>
      <w:r w:rsidRPr="00D577BC">
        <w:rPr>
          <w:rFonts w:asciiTheme="minorHAnsi" w:hAnsiTheme="minorHAnsi" w:cstheme="minorHAnsi"/>
          <w:color w:val="000000" w:themeColor="text1"/>
        </w:rPr>
        <w:t>. odobrilo je sredstva za nabavu knjiga</w:t>
      </w:r>
      <w:r w:rsidR="007F79CB" w:rsidRPr="00D577BC">
        <w:rPr>
          <w:rFonts w:asciiTheme="minorHAnsi" w:hAnsiTheme="minorHAnsi" w:cstheme="minorHAnsi"/>
          <w:color w:val="000000" w:themeColor="text1"/>
        </w:rPr>
        <w:t xml:space="preserve">. </w:t>
      </w:r>
      <w:r w:rsidRPr="00D577BC">
        <w:rPr>
          <w:rFonts w:asciiTheme="minorHAnsi" w:hAnsiTheme="minorHAnsi" w:cstheme="minorHAnsi"/>
          <w:color w:val="000000" w:themeColor="text1"/>
        </w:rPr>
        <w:t>Sretni smo da svi učenici mogu dobiti besplatne udžbenike te s tim olakšati roditeljima početak i ove školske godine.</w:t>
      </w:r>
      <w:r w:rsidR="000F5A1F" w:rsidRPr="00D577BC">
        <w:rPr>
          <w:rFonts w:asciiTheme="minorHAnsi" w:hAnsiTheme="minorHAnsi" w:cstheme="minorHAnsi"/>
          <w:color w:val="000000" w:themeColor="text1"/>
        </w:rPr>
        <w:t xml:space="preserve"> </w:t>
      </w:r>
    </w:p>
    <w:p w14:paraId="11362B48" w14:textId="1D99E9CE" w:rsidR="00725CB4" w:rsidRPr="00D577BC" w:rsidRDefault="002B0F4C" w:rsidP="00C9598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Ministarstvo znanosti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</w:rPr>
        <w:t>obrazovanja</w:t>
      </w:r>
      <w:r>
        <w:rPr>
          <w:rFonts w:asciiTheme="minorHAnsi" w:hAnsiTheme="minorHAnsi" w:cstheme="minorHAnsi"/>
          <w:color w:val="000000" w:themeColor="text1"/>
        </w:rPr>
        <w:t xml:space="preserve"> i mladih</w:t>
      </w:r>
      <w:r w:rsidRPr="00D577BC">
        <w:rPr>
          <w:rFonts w:asciiTheme="minorHAnsi" w:hAnsiTheme="minorHAnsi" w:cstheme="minorHAnsi"/>
          <w:color w:val="000000" w:themeColor="text1"/>
        </w:rPr>
        <w:t xml:space="preserve"> </w:t>
      </w:r>
      <w:r w:rsidR="00725CB4" w:rsidRPr="00D577BC">
        <w:rPr>
          <w:rFonts w:asciiTheme="minorHAnsi" w:hAnsiTheme="minorHAnsi" w:cstheme="minorHAnsi"/>
          <w:color w:val="000000" w:themeColor="text1"/>
        </w:rPr>
        <w:t>će u potpunosti financirati jedan topli obrok za sve učenike osnovnih škola u iznosu od 1,33 eura po obroku.</w:t>
      </w:r>
    </w:p>
    <w:p w14:paraId="337D2B93" w14:textId="70804A0E" w:rsidR="00F30DE4" w:rsidRDefault="000F5A1F" w:rsidP="00C9598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Grad Gospić za školsku godinu 202</w:t>
      </w:r>
      <w:r w:rsidR="000F01C0">
        <w:rPr>
          <w:rFonts w:asciiTheme="minorHAnsi" w:hAnsiTheme="minorHAnsi" w:cstheme="minorHAnsi"/>
          <w:color w:val="000000" w:themeColor="text1"/>
        </w:rPr>
        <w:t>4</w:t>
      </w:r>
      <w:r w:rsidRPr="00D577BC">
        <w:rPr>
          <w:rFonts w:asciiTheme="minorHAnsi" w:hAnsiTheme="minorHAnsi" w:cstheme="minorHAnsi"/>
          <w:color w:val="000000" w:themeColor="text1"/>
        </w:rPr>
        <w:t>./</w:t>
      </w:r>
      <w:r w:rsidR="0015401E">
        <w:rPr>
          <w:rFonts w:asciiTheme="minorHAnsi" w:hAnsiTheme="minorHAnsi" w:cstheme="minorHAnsi"/>
          <w:color w:val="000000" w:themeColor="text1"/>
        </w:rPr>
        <w:t>20</w:t>
      </w:r>
      <w:r w:rsidRPr="00D577BC">
        <w:rPr>
          <w:rFonts w:asciiTheme="minorHAnsi" w:hAnsiTheme="minorHAnsi" w:cstheme="minorHAnsi"/>
          <w:color w:val="000000" w:themeColor="text1"/>
        </w:rPr>
        <w:t>2</w:t>
      </w:r>
      <w:r w:rsidR="000F01C0">
        <w:rPr>
          <w:rFonts w:asciiTheme="minorHAnsi" w:hAnsiTheme="minorHAnsi" w:cstheme="minorHAnsi"/>
          <w:color w:val="000000" w:themeColor="text1"/>
        </w:rPr>
        <w:t>5</w:t>
      </w:r>
      <w:r w:rsidRPr="00D577BC">
        <w:rPr>
          <w:rFonts w:asciiTheme="minorHAnsi" w:hAnsiTheme="minorHAnsi" w:cstheme="minorHAnsi"/>
          <w:color w:val="000000" w:themeColor="text1"/>
        </w:rPr>
        <w:t>. osigura</w:t>
      </w:r>
      <w:r w:rsidR="00A14CC6" w:rsidRPr="00D577BC">
        <w:rPr>
          <w:rFonts w:asciiTheme="minorHAnsi" w:hAnsiTheme="minorHAnsi" w:cstheme="minorHAnsi"/>
          <w:color w:val="000000" w:themeColor="text1"/>
        </w:rPr>
        <w:t>o</w:t>
      </w:r>
      <w:r w:rsidR="0015401E">
        <w:rPr>
          <w:rFonts w:asciiTheme="minorHAnsi" w:hAnsiTheme="minorHAnsi" w:cstheme="minorHAnsi"/>
          <w:color w:val="000000" w:themeColor="text1"/>
        </w:rPr>
        <w:t xml:space="preserve"> je</w:t>
      </w:r>
      <w:r w:rsidRPr="00D577BC">
        <w:rPr>
          <w:rFonts w:asciiTheme="minorHAnsi" w:hAnsiTheme="minorHAnsi" w:cstheme="minorHAnsi"/>
          <w:color w:val="000000" w:themeColor="text1"/>
        </w:rPr>
        <w:t xml:space="preserve"> likovne mape za sve učenike od 1. do 8. razreda, radne materijale za Tehničku kulturu od 5. do 8. razreda i sve radne bilježnice za učenike 1. razreda</w:t>
      </w:r>
      <w:r w:rsidR="003F709E" w:rsidRPr="00D577BC">
        <w:rPr>
          <w:rFonts w:asciiTheme="minorHAnsi" w:hAnsiTheme="minorHAnsi" w:cstheme="minorHAnsi"/>
          <w:color w:val="000000" w:themeColor="text1"/>
        </w:rPr>
        <w:t>.</w:t>
      </w:r>
      <w:r w:rsidR="00F30DE4" w:rsidRPr="00D577BC">
        <w:rPr>
          <w:rFonts w:asciiTheme="minorHAnsi" w:hAnsiTheme="minorHAnsi" w:cstheme="minorHAnsi"/>
          <w:color w:val="000000" w:themeColor="text1"/>
        </w:rPr>
        <w:t xml:space="preserve"> </w:t>
      </w:r>
    </w:p>
    <w:p w14:paraId="5EBC57B6" w14:textId="6BEDCFCC" w:rsidR="002762FF" w:rsidRPr="00D577BC" w:rsidRDefault="002762FF" w:rsidP="00C95985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Osnivač Grad Gospić za školsku godinu 2024./2025. osigurao</w:t>
      </w:r>
      <w:r w:rsidR="0015401E">
        <w:rPr>
          <w:rFonts w:asciiTheme="minorHAnsi" w:hAnsiTheme="minorHAnsi" w:cstheme="minorHAnsi"/>
          <w:color w:val="000000" w:themeColor="text1"/>
        </w:rPr>
        <w:t xml:space="preserve"> je</w:t>
      </w:r>
      <w:r>
        <w:rPr>
          <w:rFonts w:asciiTheme="minorHAnsi" w:hAnsiTheme="minorHAnsi" w:cstheme="minorHAnsi"/>
          <w:color w:val="000000" w:themeColor="text1"/>
        </w:rPr>
        <w:t xml:space="preserve"> troškove plaće za još jednog zaposlenika produženog boravka te samim tim su se uvećali rashodi izvora 1. u odnosu na prošlu godinu. Otvaranje još jednog odjela produženog boravka uveselilo je i olakšalo školovanje za dodatnih 28 učenika prvih i drugih razreda.</w:t>
      </w:r>
    </w:p>
    <w:p w14:paraId="7291F848" w14:textId="5F08CDCF" w:rsidR="00BC482E" w:rsidRPr="00D577BC" w:rsidRDefault="00BC482E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82FB820" w14:textId="77777777" w:rsidR="00725CB4" w:rsidRPr="00D577BC" w:rsidRDefault="00725C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0F59AEE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7068E98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020F241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A2ABB10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C5B543B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9A0D173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7CC3605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60B9FA3" w14:textId="77777777" w:rsidR="00C94047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68A90A1" w14:textId="77777777" w:rsidR="002762FF" w:rsidRDefault="002762F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24F5ABD" w14:textId="77777777" w:rsidR="002762FF" w:rsidRDefault="002762F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59B354A" w14:textId="77777777" w:rsidR="002762FF" w:rsidRDefault="002762F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4EC00C0" w14:textId="77777777" w:rsidR="002762FF" w:rsidRDefault="002762F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A06BC24" w14:textId="77777777" w:rsidR="002762FF" w:rsidRDefault="002762F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00942D6" w14:textId="77777777" w:rsidR="002762FF" w:rsidRDefault="002762F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4AAE4F5" w14:textId="77777777" w:rsidR="002762FF" w:rsidRPr="00D577BC" w:rsidRDefault="002762FF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3421CCC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79BF4A9" w14:textId="24E4104E" w:rsidR="00171BA3" w:rsidRPr="00D577BC" w:rsidRDefault="00725CB4" w:rsidP="00C95985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hr-HR"/>
        </w:rPr>
        <w:lastRenderedPageBreak/>
        <w:t>2. Posebni dio</w:t>
      </w:r>
    </w:p>
    <w:p w14:paraId="3E0A3C29" w14:textId="29B2B348" w:rsidR="00171BA3" w:rsidRPr="00D577BC" w:rsidRDefault="00171BA3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05C4E01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F919B65" w14:textId="77777777" w:rsidR="00C94047" w:rsidRPr="00D577BC" w:rsidRDefault="00C94047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E7FE461" w14:textId="3BF27206" w:rsidR="00C94047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Posebni dio obrazloženja financijskog plana proračunskog korisnika sadrži plan rashoda i izdataka iskazanih po izvorima financiranja i ekonomskoj klasifikaciji, raspoređenih u programe koji se sastoje od aktivnosti i projekata.</w:t>
      </w:r>
      <w:r w:rsidR="00BF0060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156586C3" w14:textId="77777777" w:rsidR="00BF0060" w:rsidRPr="00D577BC" w:rsidRDefault="00BF0060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194C7DB" w14:textId="35670C1E" w:rsidR="00C94047" w:rsidRDefault="00C94047" w:rsidP="00C95985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508920ED" w14:textId="77777777" w:rsidR="007118CA" w:rsidRDefault="007118CA" w:rsidP="00C95985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18CA" w14:paraId="75647D89" w14:textId="77777777" w:rsidTr="00D65A34">
        <w:tc>
          <w:tcPr>
            <w:tcW w:w="9062" w:type="dxa"/>
            <w:gridSpan w:val="3"/>
          </w:tcPr>
          <w:p w14:paraId="79816DF6" w14:textId="76B34872" w:rsidR="007118CA" w:rsidRDefault="007118CA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 w:rsidRPr="007118C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RKP 08738 OŠ DR. JURE TURIĆ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A</w:t>
            </w:r>
          </w:p>
        </w:tc>
      </w:tr>
      <w:tr w:rsidR="00A27CC2" w14:paraId="6A96DA30" w14:textId="77777777" w:rsidTr="00D65A34">
        <w:tc>
          <w:tcPr>
            <w:tcW w:w="9062" w:type="dxa"/>
            <w:gridSpan w:val="3"/>
          </w:tcPr>
          <w:p w14:paraId="798125DF" w14:textId="2577E403" w:rsidR="00A27CC2" w:rsidRPr="007118CA" w:rsidRDefault="00A27CC2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 w:rsidRPr="00A27CC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09 Obrazovanje</w:t>
            </w:r>
          </w:p>
        </w:tc>
      </w:tr>
      <w:tr w:rsidR="007118CA" w14:paraId="0502811B" w14:textId="77777777" w:rsidTr="006F3DF2">
        <w:tc>
          <w:tcPr>
            <w:tcW w:w="6041" w:type="dxa"/>
            <w:gridSpan w:val="2"/>
          </w:tcPr>
          <w:p w14:paraId="0DC1E76B" w14:textId="7562FF6A" w:rsidR="007118CA" w:rsidRDefault="007118CA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 w:rsidRPr="007118C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IZVORI FINANCIRANJA UKUPNO</w:t>
            </w:r>
          </w:p>
        </w:tc>
        <w:tc>
          <w:tcPr>
            <w:tcW w:w="3021" w:type="dxa"/>
          </w:tcPr>
          <w:p w14:paraId="62D79F2E" w14:textId="2B64B332" w:rsidR="007118CA" w:rsidRDefault="007118CA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Plan za 2025.</w:t>
            </w:r>
          </w:p>
        </w:tc>
      </w:tr>
      <w:tr w:rsidR="00386FA3" w14:paraId="41DAC1BF" w14:textId="77777777" w:rsidTr="00902AF1">
        <w:tc>
          <w:tcPr>
            <w:tcW w:w="3020" w:type="dxa"/>
            <w:vAlign w:val="center"/>
          </w:tcPr>
          <w:p w14:paraId="4C1F90AC" w14:textId="114A2CFE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1</w:t>
            </w:r>
          </w:p>
        </w:tc>
        <w:tc>
          <w:tcPr>
            <w:tcW w:w="3021" w:type="dxa"/>
            <w:vAlign w:val="center"/>
          </w:tcPr>
          <w:p w14:paraId="71FDE23C" w14:textId="04A4522C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Opći</w:t>
            </w:r>
            <w:proofErr w:type="spellEnd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 xml:space="preserve"> prihodi i primici</w:t>
            </w:r>
          </w:p>
        </w:tc>
        <w:tc>
          <w:tcPr>
            <w:tcW w:w="3021" w:type="dxa"/>
            <w:vAlign w:val="center"/>
          </w:tcPr>
          <w:p w14:paraId="33DD0A23" w14:textId="0C576486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240.000,00    </w:t>
            </w:r>
          </w:p>
        </w:tc>
      </w:tr>
      <w:tr w:rsidR="00386FA3" w14:paraId="4A069070" w14:textId="77777777" w:rsidTr="00902AF1">
        <w:tc>
          <w:tcPr>
            <w:tcW w:w="3020" w:type="dxa"/>
            <w:vAlign w:val="center"/>
          </w:tcPr>
          <w:p w14:paraId="00479ED9" w14:textId="65ACC67E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3</w:t>
            </w:r>
          </w:p>
        </w:tc>
        <w:tc>
          <w:tcPr>
            <w:tcW w:w="3021" w:type="dxa"/>
            <w:vAlign w:val="center"/>
          </w:tcPr>
          <w:p w14:paraId="56A591DE" w14:textId="2EF12472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Vlastiti</w:t>
            </w:r>
            <w:proofErr w:type="spellEnd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 xml:space="preserve"> prihodi</w:t>
            </w:r>
          </w:p>
        </w:tc>
        <w:tc>
          <w:tcPr>
            <w:tcW w:w="3021" w:type="dxa"/>
            <w:vAlign w:val="center"/>
          </w:tcPr>
          <w:p w14:paraId="28D9E3D8" w14:textId="0FB810C5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28.507,00    </w:t>
            </w:r>
          </w:p>
        </w:tc>
      </w:tr>
      <w:tr w:rsidR="00386FA3" w14:paraId="0EDA7B0B" w14:textId="77777777" w:rsidTr="00902AF1">
        <w:tc>
          <w:tcPr>
            <w:tcW w:w="3020" w:type="dxa"/>
            <w:vAlign w:val="center"/>
          </w:tcPr>
          <w:p w14:paraId="78DFF0A6" w14:textId="3047AEC9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4</w:t>
            </w:r>
          </w:p>
        </w:tc>
        <w:tc>
          <w:tcPr>
            <w:tcW w:w="3021" w:type="dxa"/>
            <w:vAlign w:val="center"/>
          </w:tcPr>
          <w:p w14:paraId="422019F3" w14:textId="741007AC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 xml:space="preserve"> za posebne </w:t>
            </w: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namjene</w:t>
            </w:r>
            <w:proofErr w:type="spellEnd"/>
          </w:p>
        </w:tc>
        <w:tc>
          <w:tcPr>
            <w:tcW w:w="3021" w:type="dxa"/>
            <w:vAlign w:val="center"/>
          </w:tcPr>
          <w:p w14:paraId="64904CAD" w14:textId="23680FDD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30.700,00    </w:t>
            </w:r>
          </w:p>
        </w:tc>
      </w:tr>
      <w:tr w:rsidR="00386FA3" w14:paraId="368ADB0D" w14:textId="77777777" w:rsidTr="00902AF1">
        <w:tc>
          <w:tcPr>
            <w:tcW w:w="3020" w:type="dxa"/>
            <w:vAlign w:val="center"/>
          </w:tcPr>
          <w:p w14:paraId="6EAF0193" w14:textId="490914C9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5</w:t>
            </w:r>
          </w:p>
        </w:tc>
        <w:tc>
          <w:tcPr>
            <w:tcW w:w="3021" w:type="dxa"/>
            <w:vAlign w:val="center"/>
          </w:tcPr>
          <w:p w14:paraId="4ADC6787" w14:textId="26033EA8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Pomoći</w:t>
            </w:r>
            <w:proofErr w:type="spellEnd"/>
          </w:p>
        </w:tc>
        <w:tc>
          <w:tcPr>
            <w:tcW w:w="3021" w:type="dxa"/>
            <w:vAlign w:val="center"/>
          </w:tcPr>
          <w:p w14:paraId="047C7B17" w14:textId="6A3550E6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3.616.373,00    </w:t>
            </w:r>
          </w:p>
        </w:tc>
      </w:tr>
      <w:tr w:rsidR="00386FA3" w14:paraId="26939739" w14:textId="77777777" w:rsidTr="00902AF1">
        <w:tc>
          <w:tcPr>
            <w:tcW w:w="3020" w:type="dxa"/>
            <w:vAlign w:val="center"/>
          </w:tcPr>
          <w:p w14:paraId="08025652" w14:textId="7C6F2C99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6</w:t>
            </w:r>
          </w:p>
        </w:tc>
        <w:tc>
          <w:tcPr>
            <w:tcW w:w="3021" w:type="dxa"/>
            <w:vAlign w:val="center"/>
          </w:tcPr>
          <w:p w14:paraId="5CB63E09" w14:textId="65877F88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Donacije</w:t>
            </w:r>
            <w:proofErr w:type="spellEnd"/>
          </w:p>
        </w:tc>
        <w:tc>
          <w:tcPr>
            <w:tcW w:w="3021" w:type="dxa"/>
            <w:vAlign w:val="center"/>
          </w:tcPr>
          <w:p w14:paraId="5676CC97" w14:textId="1A6D6990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4.000,00    </w:t>
            </w:r>
          </w:p>
        </w:tc>
      </w:tr>
      <w:tr w:rsidR="00386FA3" w14:paraId="0E19D79B" w14:textId="77777777" w:rsidTr="00902AF1">
        <w:tc>
          <w:tcPr>
            <w:tcW w:w="3020" w:type="dxa"/>
            <w:vAlign w:val="center"/>
          </w:tcPr>
          <w:p w14:paraId="071D1B6F" w14:textId="500ED1A8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7</w:t>
            </w:r>
          </w:p>
        </w:tc>
        <w:tc>
          <w:tcPr>
            <w:tcW w:w="3021" w:type="dxa"/>
            <w:vAlign w:val="center"/>
          </w:tcPr>
          <w:p w14:paraId="02B22DDF" w14:textId="1A346FB5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 xml:space="preserve"> od prodaje </w:t>
            </w:r>
            <w:proofErr w:type="gram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nefin.imovine</w:t>
            </w:r>
            <w:proofErr w:type="gramEnd"/>
          </w:p>
        </w:tc>
        <w:tc>
          <w:tcPr>
            <w:tcW w:w="3021" w:type="dxa"/>
            <w:vAlign w:val="center"/>
          </w:tcPr>
          <w:p w14:paraId="08966E80" w14:textId="72778344" w:rsidR="00386FA3" w:rsidRDefault="00386FA3" w:rsidP="00C9598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-      </w:t>
            </w:r>
          </w:p>
        </w:tc>
      </w:tr>
    </w:tbl>
    <w:p w14:paraId="0386FE98" w14:textId="555F3DFB" w:rsidR="007118CA" w:rsidRDefault="00BF0060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F0060">
        <w:rPr>
          <w:rFonts w:asciiTheme="minorHAnsi" w:hAnsiTheme="minorHAnsi" w:cstheme="minorHAnsi"/>
          <w:sz w:val="24"/>
          <w:szCs w:val="24"/>
          <w:lang w:val="hr-HR"/>
        </w:rPr>
        <w:t>Tablica 1. prikaz izvora financiranja ukupno po funkcijskoj klasifikaciji</w:t>
      </w:r>
    </w:p>
    <w:p w14:paraId="3A01A0C5" w14:textId="77777777" w:rsidR="00A27CC2" w:rsidRDefault="00A27CC2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018E070" w14:textId="77777777" w:rsidR="00A27CC2" w:rsidRPr="00BF0060" w:rsidRDefault="00A27CC2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3C3F727" w14:textId="77777777" w:rsidR="00C94047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9AEABD8" w14:textId="77777777" w:rsidR="00A27CC2" w:rsidRDefault="00A27CC2" w:rsidP="00C95985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bCs/>
          <w:sz w:val="28"/>
          <w:szCs w:val="28"/>
          <w:lang w:val="hr-HR"/>
        </w:rPr>
        <w:t>2.1. Financijski plan 202</w:t>
      </w: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>5</w:t>
      </w:r>
      <w:r w:rsidRPr="00D577BC">
        <w:rPr>
          <w:rFonts w:asciiTheme="minorHAnsi" w:hAnsiTheme="minorHAnsi" w:cstheme="minorHAnsi"/>
          <w:b/>
          <w:bCs/>
          <w:sz w:val="28"/>
          <w:szCs w:val="28"/>
          <w:lang w:val="hr-HR"/>
        </w:rPr>
        <w:t>.godine po programima i aktivnostima</w:t>
      </w:r>
    </w:p>
    <w:p w14:paraId="0F451E78" w14:textId="77777777" w:rsidR="00A27CC2" w:rsidRDefault="00A27CC2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CF7477C" w14:textId="77777777" w:rsidR="00BF0060" w:rsidRPr="00D577BC" w:rsidRDefault="00BF0060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FED3770" w14:textId="6F36019D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Program </w:t>
      </w:r>
      <w:r w:rsidR="007118CA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118CA">
        <w:rPr>
          <w:rFonts w:asciiTheme="minorHAnsi" w:hAnsiTheme="minorHAnsi" w:cstheme="minorHAnsi"/>
          <w:sz w:val="24"/>
          <w:szCs w:val="24"/>
          <w:lang w:val="hr-HR"/>
        </w:rPr>
        <w:t>Osnovno i srednjoškolsko obrazovanje iznosi 3.919.580 eura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1A7473DE" w14:textId="77777777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08DDDA0" w14:textId="6A2993CC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660A8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400402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Materijalni rashodi po zakonskom standardu u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>planu za 202</w:t>
      </w:r>
      <w:r w:rsidR="00660A8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iznose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278.600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za materijalne rashode, financijske rashode te prijevoz učenika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 xml:space="preserve"> iz izvora 5.2. te za kapitalna ulaganja 10.400 eura odnosno za nabavu zastora za matičnu školu te klima uređaja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. I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z izvora 1.1. prihodi od poreza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 xml:space="preserve">Grad Gospić 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>dio sufinancir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a za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prijevoza učenika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5BF68537" w14:textId="77777777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B616B38" w14:textId="2E90FFEA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8021BA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400403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Izvor 4.7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Glazbena škola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rashodi i prihodi u iznosu od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8.500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za materijalne rashode za redovno poslovanje glazbene škole u vidu edukacija, literature i usluga održavanja instrumenata te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izlet učenika glazbene škole.</w:t>
      </w:r>
    </w:p>
    <w:p w14:paraId="035B0DD4" w14:textId="77777777" w:rsidR="00C94047" w:rsidRPr="00D577BC" w:rsidRDefault="00C94047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2E2042" w14:textId="1D49C59D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8021BA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Produženi boravak-program produženog boravka se financira iz općih prihoda i primitaka, prihoda od poreza te prihoda za posebne namjene za prehranu učenika koje doznačuju roditelji prema ugovoru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 xml:space="preserve"> odnosno 1,37 eura po danu.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Sredstva za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tri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učitelja i jednog kuhara doznačava Grad Gospić. Ukupni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prihodi 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rashodi za 202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iznose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109.300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1.1. te iz Izvora 4.7.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18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00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. U 2024./2025. školskoj godini je upisano više djece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 xml:space="preserve"> odnosno 83 učenika prvih i drugih razreda i samim tim su se povećali prihodi odnosno rashodi navedene aktivnosti tj. produženog boravka.</w:t>
      </w:r>
    </w:p>
    <w:p w14:paraId="1F985E31" w14:textId="77777777" w:rsidR="00C94047" w:rsidRPr="00D577BC" w:rsidRDefault="00C94047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3624BF4" w14:textId="4F47D969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lastRenderedPageBreak/>
        <w:t>Aktivnost A</w:t>
      </w:r>
      <w:r w:rsidR="008021BA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Plaće u prosvjeti-državni proračun. Škola kao proračunski korisnik proračuna jedinice lokalne i područne (regionalne) samouprave financira plaće i naknade iz sredstava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. U 202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.godini 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planiramo 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2.904.00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prihoda odnosno rashoda.</w:t>
      </w:r>
    </w:p>
    <w:p w14:paraId="5D08946C" w14:textId="77777777" w:rsidR="00C94047" w:rsidRPr="00D577BC" w:rsidRDefault="00C94047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00E7AC1" w14:textId="322EDF4B" w:rsidR="00EC75DE" w:rsidRPr="00EC75DE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EC75DE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400406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Školska kuhinja Osnovne škole dr. Jure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u 202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financira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se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iz izvora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5.7.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tekuće pomoći PK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, sredstva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doznačava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 xml:space="preserve"> na račun Grada Gospića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 xml:space="preserve"> a Grad Gospić doznačava novčana sredstva nama, na račun škole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za prehranu učenika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. S</w:t>
      </w:r>
      <w:r w:rsidR="00EC75DE" w:rsidRPr="00EC75DE">
        <w:rPr>
          <w:rFonts w:asciiTheme="minorHAnsi" w:hAnsiTheme="minorHAnsi" w:cstheme="minorHAnsi"/>
          <w:sz w:val="24"/>
          <w:szCs w:val="24"/>
          <w:lang w:val="hr-HR"/>
        </w:rPr>
        <w:t>redstva za prehranu isplać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uju</w:t>
      </w:r>
      <w:r w:rsidR="00EC75DE" w:rsidRPr="00EC75D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se</w:t>
      </w:r>
      <w:r w:rsidR="00EC75DE" w:rsidRPr="00EC75DE">
        <w:rPr>
          <w:rFonts w:asciiTheme="minorHAnsi" w:hAnsiTheme="minorHAnsi" w:cstheme="minorHAnsi"/>
          <w:sz w:val="24"/>
          <w:szCs w:val="24"/>
          <w:lang w:val="hr-HR"/>
        </w:rPr>
        <w:t xml:space="preserve"> temeljem podataka evidentiranih u e-Dnevniku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72755242" w14:textId="35A86E16" w:rsidR="00EC75DE" w:rsidRPr="00EC75DE" w:rsidRDefault="00EC75DE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Planirani rashodi za 2025.godinu iznose 173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.000</w:t>
      </w:r>
      <w:r w:rsidR="00DC7F76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eura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jer je u 2024./2025. školskoj godini uključeno više učenika koji idu u školsku kuhinju. Želja nam je da svako dijete, svaki dan ima topli obrok i bude zadovoljan sa istim, poštujući n</w:t>
      </w:r>
      <w:r w:rsidRPr="00EC75DE">
        <w:rPr>
          <w:rFonts w:asciiTheme="minorHAnsi" w:hAnsiTheme="minorHAnsi" w:cstheme="minorHAnsi"/>
          <w:sz w:val="24"/>
          <w:szCs w:val="24"/>
          <w:lang w:val="hr-HR"/>
        </w:rPr>
        <w:t>acionaln</w:t>
      </w:r>
      <w:r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EC75DE">
        <w:rPr>
          <w:rFonts w:asciiTheme="minorHAnsi" w:hAnsiTheme="minorHAnsi" w:cstheme="minorHAnsi"/>
          <w:sz w:val="24"/>
          <w:szCs w:val="24"/>
          <w:lang w:val="hr-HR"/>
        </w:rPr>
        <w:t xml:space="preserve"> smjernic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e </w:t>
      </w:r>
      <w:r w:rsidRPr="00EC75DE">
        <w:rPr>
          <w:rFonts w:asciiTheme="minorHAnsi" w:hAnsiTheme="minorHAnsi" w:cstheme="minorHAnsi"/>
          <w:sz w:val="24"/>
          <w:szCs w:val="24"/>
          <w:lang w:val="hr-HR"/>
        </w:rPr>
        <w:t>za prehranu učenika u osnovnim školama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HZJZ.</w:t>
      </w:r>
    </w:p>
    <w:p w14:paraId="153C322D" w14:textId="1B351DC1" w:rsidR="00C94047" w:rsidRPr="00D577BC" w:rsidRDefault="0070459B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z izvora 4.7. prihodi za posebne namjene, naplać</w:t>
      </w:r>
      <w:r>
        <w:rPr>
          <w:rFonts w:asciiTheme="minorHAnsi" w:hAnsiTheme="minorHAnsi" w:cstheme="minorHAnsi"/>
          <w:sz w:val="24"/>
          <w:szCs w:val="24"/>
          <w:lang w:val="hr-HR"/>
        </w:rPr>
        <w:t>uju se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sredstva iz prethodnih godina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te ista će biti utrošena u poboljšanje školske kuhinje.</w:t>
      </w:r>
    </w:p>
    <w:p w14:paraId="0D4F20F2" w14:textId="77777777" w:rsidR="008A6439" w:rsidRPr="00D577BC" w:rsidRDefault="008A6439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C50FBA3" w14:textId="46A5C792" w:rsidR="008A6439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70459B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400407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Gradska sportska dvorana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3.1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ima vlastite prihode od naplate najma dvorane za rekreativce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 xml:space="preserve"> i sportske klubove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koji se namjenski troše za održavanje dvorane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redovnog poslovanja škole.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Planirani prihodi za 202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su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17.000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eura, izračunato po sadašnjem brojnom stanju rekreativaca i sportski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>h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klubova koji koriste termine Gradske sportske dvorane. 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>Nisu nam u planu kapitalna ulaganja u 2025.godini iz razloga nedostatka novčanih sredstava jer su veliki iznos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 xml:space="preserve">i 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>održavanja i čišćenja dvorane.</w:t>
      </w:r>
    </w:p>
    <w:p w14:paraId="745F3AF5" w14:textId="77777777" w:rsidR="008A6439" w:rsidRPr="00D577BC" w:rsidRDefault="008A6439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27F99DB" w14:textId="10A34BD0" w:rsidR="00C94047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70459B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400408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Sufinanciranje prijevoza TUR iz izvora 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5.7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tekućih pomoći proračunskom korisniku.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doznačava sredstva za prijevoz učenika s teškoćama, koji se isplaćuju na račun roditelja, te posebna nastavna sredstva i pomagala za školovanje učenika s teškoćama. 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prihodi su iznosu od 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 xml:space="preserve">8.460 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>eura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F31F443" w14:textId="77777777" w:rsidR="003A0278" w:rsidRPr="00D577BC" w:rsidRDefault="003A0278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43E3A1B" w14:textId="4F17592E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</w:t>
      </w:r>
      <w:r w:rsidR="0070459B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400403</w:t>
      </w: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Redovna djelatnost škole izvan standarda. Grad Gospić doznačava sredstva na račun škole za naknadu članovima školskog odbora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9643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izvora 1.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1.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prihodi od poreza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8F438F" w:rsidRPr="00D577BC">
        <w:rPr>
          <w:rFonts w:asciiTheme="minorHAnsi" w:hAnsiTheme="minorHAnsi" w:cstheme="minorHAnsi"/>
          <w:color w:val="FF0000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Vlastiti prihodi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3.1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OŠ Gospić 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rashodi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za potrebe redovnog 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poslovanja u iznosu od 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>11.500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od prihoda učeničke zadruge „Vodarica Marta“,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najma školske sportske dvorane.</w:t>
      </w:r>
    </w:p>
    <w:p w14:paraId="41C6CCC9" w14:textId="628E2E39" w:rsidR="005A0749" w:rsidRDefault="005A0749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Izvor 4.7 rashodi školske knjižnice te ostali rashodi iz izvora za posebne namjene PK.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587F64C8" w14:textId="4FEEB35D" w:rsidR="00581779" w:rsidRDefault="003A0278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Izvor 5.7. tekuće pomoći PK za knjige u knjižnicama te </w:t>
      </w:r>
      <w:r w:rsidR="00581779" w:rsidRPr="00D577BC">
        <w:rPr>
          <w:rFonts w:asciiTheme="minorHAnsi" w:hAnsiTheme="minorHAnsi" w:cstheme="minorHAnsi"/>
          <w:sz w:val="24"/>
          <w:szCs w:val="24"/>
          <w:lang w:val="hr-HR"/>
        </w:rPr>
        <w:t>prihodi za Županijska stručna vijeća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0CAB8067" w14:textId="1F4C9867" w:rsidR="003A0278" w:rsidRPr="00D577BC" w:rsidRDefault="003A0278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Izvor 6.1. donacije PK 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za ostale nespomenute rashode poslovanje u iznosu od 4.000 eura</w:t>
      </w:r>
      <w:r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0A376FD" w14:textId="77777777" w:rsidR="005A0749" w:rsidRPr="00D577BC" w:rsidRDefault="005A0749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4BBDC8F" w14:textId="6FA19094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</w:t>
      </w:r>
      <w:r w:rsidR="0058177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Ostale aktivnosti i projekti (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>iz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vannastavni). Grad Gospić doznačava sredstva za program javnih potreba članarinu EKO školi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iznosu od 531 euro.</w:t>
      </w:r>
    </w:p>
    <w:p w14:paraId="3FC015E3" w14:textId="3009C495" w:rsidR="00083F9F" w:rsidRPr="00D577BC" w:rsidRDefault="00083F9F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Izvor 3.1 prihod od kamata u iznosu od 7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eura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5C0E874B" w14:textId="1363C6A9" w:rsidR="00C94047" w:rsidRPr="00D577BC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5.7. tekućih pomoći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prihodi i rashodi za mjeru pripravništva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te higijenske potrepštine za sve učenice osnovne škole.</w:t>
      </w:r>
    </w:p>
    <w:p w14:paraId="34692562" w14:textId="77777777" w:rsidR="00C94047" w:rsidRPr="00D577BC" w:rsidRDefault="00C94047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B0EC156" w14:textId="0D3E9FEE" w:rsidR="00C94047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</w:t>
      </w:r>
      <w:r w:rsidR="0058177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400406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Korak prema jednakosti (MZO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-EU). U projektu „Korak prema jednakosti“ , sredstva za rashode poslovanja financira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t će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iz izvora 5.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6.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prijenosa sredstava EU odobrenih od strane MZO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1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% sredstava iz ostalih općih prihoda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izvor 1.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od osnivača Grada Gospića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planiranom iznosu ukupno 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186.986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eura.</w:t>
      </w:r>
    </w:p>
    <w:p w14:paraId="42886C4A" w14:textId="351349C4" w:rsidR="00581779" w:rsidRPr="00D577BC" w:rsidRDefault="00581779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U školskoj godini 2024./2025. zaposleno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 xml:space="preserve"> je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12 pomoćnika u nastavi.</w:t>
      </w:r>
    </w:p>
    <w:p w14:paraId="1AC84331" w14:textId="77777777" w:rsidR="00C94047" w:rsidRPr="00D577BC" w:rsidRDefault="00C94047" w:rsidP="00C959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C89435D" w14:textId="007010D2" w:rsidR="00C94047" w:rsidRDefault="00C94047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lastRenderedPageBreak/>
        <w:t>Tekući projekt T</w:t>
      </w:r>
      <w:r w:rsidR="0058177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400405</w:t>
      </w: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Udžbenici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iz Izvora 5</w:t>
      </w:r>
      <w:r w:rsidR="00C841C6" w:rsidRPr="00D577BC">
        <w:rPr>
          <w:rFonts w:asciiTheme="minorHAnsi" w:hAnsiTheme="minorHAnsi" w:cstheme="minorHAnsi"/>
          <w:sz w:val="24"/>
          <w:szCs w:val="24"/>
          <w:lang w:val="hr-HR"/>
        </w:rPr>
        <w:t>.7 planirani rashod za 202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C841C6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je 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0.000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841C6" w:rsidRPr="00D577BC">
        <w:rPr>
          <w:rFonts w:asciiTheme="minorHAnsi" w:hAnsiTheme="minorHAnsi" w:cstheme="minorHAnsi"/>
          <w:sz w:val="24"/>
          <w:szCs w:val="24"/>
          <w:lang w:val="hr-HR"/>
        </w:rPr>
        <w:t>eura</w:t>
      </w:r>
      <w:r w:rsidR="00E75E2C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za besplatne udžbenike, svim  učenicima osnovne škole.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340177D3" w14:textId="77777777" w:rsidR="003A0278" w:rsidRDefault="003A0278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08DBFBA" w14:textId="0773A56D" w:rsidR="003A0278" w:rsidRPr="008A47C6" w:rsidRDefault="003A0278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</w:t>
      </w:r>
      <w:r w:rsidR="0058177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400407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Pr="008A47C6">
        <w:rPr>
          <w:rFonts w:asciiTheme="minorHAnsi" w:hAnsiTheme="minorHAnsi" w:cstheme="minorHAnsi"/>
          <w:sz w:val="24"/>
          <w:szCs w:val="24"/>
          <w:lang w:val="hr-HR"/>
        </w:rPr>
        <w:t>Projekti: Lički suvenir, Čuvari baštine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 xml:space="preserve"> te </w:t>
      </w:r>
      <w:proofErr w:type="spellStart"/>
      <w:r w:rsidR="00581779">
        <w:rPr>
          <w:rFonts w:asciiTheme="minorHAnsi" w:hAnsiTheme="minorHAnsi" w:cstheme="minorHAnsi"/>
          <w:sz w:val="24"/>
          <w:szCs w:val="24"/>
          <w:lang w:val="hr-HR"/>
        </w:rPr>
        <w:t>Robostar</w:t>
      </w:r>
      <w:proofErr w:type="spellEnd"/>
      <w:r w:rsidR="00581779">
        <w:rPr>
          <w:rFonts w:asciiTheme="minorHAnsi" w:hAnsiTheme="minorHAnsi" w:cstheme="minorHAnsi"/>
          <w:sz w:val="24"/>
          <w:szCs w:val="24"/>
          <w:lang w:val="hr-HR"/>
        </w:rPr>
        <w:t xml:space="preserve"> planirani su i za 2025.godinu. M</w:t>
      </w:r>
      <w:r w:rsidR="00BF0060">
        <w:rPr>
          <w:rFonts w:asciiTheme="minorHAnsi" w:hAnsiTheme="minorHAnsi" w:cstheme="minorHAnsi"/>
          <w:sz w:val="24"/>
          <w:szCs w:val="24"/>
          <w:lang w:val="hr-HR"/>
        </w:rPr>
        <w:t xml:space="preserve">inistarstvo regionalnog razvoja i fondova Europske unije 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>doznačava</w:t>
      </w:r>
      <w:r w:rsidR="00BF0060">
        <w:rPr>
          <w:rFonts w:asciiTheme="minorHAnsi" w:hAnsiTheme="minorHAnsi" w:cstheme="minorHAnsi"/>
          <w:sz w:val="24"/>
          <w:szCs w:val="24"/>
          <w:lang w:val="hr-HR"/>
        </w:rPr>
        <w:t xml:space="preserve"> nam novčana </w:t>
      </w:r>
      <w:r w:rsidR="008A47C6">
        <w:rPr>
          <w:rFonts w:asciiTheme="minorHAnsi" w:hAnsiTheme="minorHAnsi" w:cstheme="minorHAnsi"/>
          <w:sz w:val="24"/>
          <w:szCs w:val="24"/>
          <w:lang w:val="hr-HR"/>
        </w:rPr>
        <w:t>sredstva za navedene projekte čiju realizaciju učitelji uspješno provode i tako promoviraju našu školu.</w:t>
      </w:r>
    </w:p>
    <w:p w14:paraId="7CCACE83" w14:textId="77777777" w:rsidR="00C841C6" w:rsidRPr="00D577BC" w:rsidRDefault="00C841C6" w:rsidP="00C9598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5B401CF" w14:textId="55B623B0" w:rsidR="00171BA3" w:rsidRPr="00D577BC" w:rsidRDefault="00171BA3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783E756" w14:textId="77777777" w:rsidR="00171BA3" w:rsidRPr="00D577BC" w:rsidRDefault="00171BA3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918D012" w14:textId="640CBAD7" w:rsidR="004F0CE4" w:rsidRPr="00D577BC" w:rsidRDefault="004F0CE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7F309BA" w14:textId="5B38E9AE" w:rsidR="004F0CE4" w:rsidRPr="00D577BC" w:rsidRDefault="004F0CE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Gospić,</w:t>
      </w:r>
      <w:r w:rsidR="002F7CE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8A2429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5.</w:t>
      </w:r>
      <w:r w:rsidR="00C95985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8A2429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prosin</w:t>
      </w:r>
      <w:r w:rsidR="00C95985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ca</w:t>
      </w:r>
      <w:r w:rsidR="00C841C6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F748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202</w:t>
      </w:r>
      <w:r w:rsidR="00BF006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4</w:t>
      </w:r>
      <w:r w:rsidR="002F7CE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4D237B31" w14:textId="77777777" w:rsidR="00D24E63" w:rsidRPr="00D577BC" w:rsidRDefault="004F0CE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</w:t>
      </w:r>
    </w:p>
    <w:p w14:paraId="7B0F46DB" w14:textId="77777777" w:rsidR="00D24E63" w:rsidRPr="00D577BC" w:rsidRDefault="00D24E63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1C8C71E" w14:textId="1A186448" w:rsidR="004F0CE4" w:rsidRPr="00D577BC" w:rsidRDefault="00D24E63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</w:t>
      </w:r>
      <w:r w:rsidR="002B474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</w:t>
      </w:r>
      <w:r w:rsidR="008A47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Voditeljica računovodstva </w:t>
      </w:r>
    </w:p>
    <w:p w14:paraId="5046CDF2" w14:textId="4A43BDF4" w:rsidR="00F400C9" w:rsidRPr="00D577BC" w:rsidRDefault="00F400C9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  <w:t xml:space="preserve">            </w:t>
      </w:r>
      <w:r w:rsidR="008A47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Ana Brkljačić</w:t>
      </w:r>
    </w:p>
    <w:p w14:paraId="50680602" w14:textId="23DB1953" w:rsidR="004F0CE4" w:rsidRPr="00D577BC" w:rsidRDefault="004F0CE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</w:t>
      </w:r>
    </w:p>
    <w:p w14:paraId="41BB631A" w14:textId="57181B0A" w:rsidR="004F0CE4" w:rsidRPr="00D577BC" w:rsidRDefault="004F0CE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="007377A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</w:t>
      </w:r>
      <w:r w:rsidR="00997C83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F400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_____________________</w:t>
      </w:r>
    </w:p>
    <w:p w14:paraId="0CE5983F" w14:textId="2324A792" w:rsidR="00DB5FB4" w:rsidRPr="00D577BC" w:rsidRDefault="00DB5FB4" w:rsidP="00C9598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sectPr w:rsidR="00DB5FB4" w:rsidRPr="00D577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2246" w14:textId="77777777" w:rsidR="00390112" w:rsidRDefault="00390112" w:rsidP="000A1154">
      <w:r>
        <w:separator/>
      </w:r>
    </w:p>
  </w:endnote>
  <w:endnote w:type="continuationSeparator" w:id="0">
    <w:p w14:paraId="7910EE2A" w14:textId="77777777" w:rsidR="00390112" w:rsidRDefault="00390112" w:rsidP="000A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480480"/>
      <w:docPartObj>
        <w:docPartGallery w:val="Page Numbers (Bottom of Page)"/>
        <w:docPartUnique/>
      </w:docPartObj>
    </w:sdtPr>
    <w:sdtContent>
      <w:p w14:paraId="20F388C8" w14:textId="77777777" w:rsidR="000A1154" w:rsidRDefault="000A11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9D31AE0" w14:textId="77777777" w:rsidR="000A1154" w:rsidRDefault="000A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B4D00" w14:textId="77777777" w:rsidR="00390112" w:rsidRDefault="00390112" w:rsidP="000A1154">
      <w:r>
        <w:separator/>
      </w:r>
    </w:p>
  </w:footnote>
  <w:footnote w:type="continuationSeparator" w:id="0">
    <w:p w14:paraId="400E6DAB" w14:textId="77777777" w:rsidR="00390112" w:rsidRDefault="00390112" w:rsidP="000A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832B3"/>
    <w:multiLevelType w:val="multilevel"/>
    <w:tmpl w:val="9768F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DB21C1"/>
    <w:multiLevelType w:val="hybridMultilevel"/>
    <w:tmpl w:val="570844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7F2"/>
    <w:multiLevelType w:val="hybridMultilevel"/>
    <w:tmpl w:val="B1661612"/>
    <w:lvl w:ilvl="0" w:tplc="1158C3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54F3"/>
    <w:multiLevelType w:val="hybridMultilevel"/>
    <w:tmpl w:val="B16616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4727">
    <w:abstractNumId w:val="1"/>
  </w:num>
  <w:num w:numId="2" w16cid:durableId="1922637158">
    <w:abstractNumId w:val="2"/>
  </w:num>
  <w:num w:numId="3" w16cid:durableId="1097561392">
    <w:abstractNumId w:val="3"/>
  </w:num>
  <w:num w:numId="4" w16cid:durableId="95729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FA"/>
    <w:rsid w:val="00004F44"/>
    <w:rsid w:val="0005187B"/>
    <w:rsid w:val="00064574"/>
    <w:rsid w:val="00083F9F"/>
    <w:rsid w:val="00084841"/>
    <w:rsid w:val="00093218"/>
    <w:rsid w:val="000A1154"/>
    <w:rsid w:val="000C0D7D"/>
    <w:rsid w:val="000D0D1E"/>
    <w:rsid w:val="000D7246"/>
    <w:rsid w:val="000E2593"/>
    <w:rsid w:val="000F01C0"/>
    <w:rsid w:val="000F5A1F"/>
    <w:rsid w:val="0010101C"/>
    <w:rsid w:val="00140229"/>
    <w:rsid w:val="001439B2"/>
    <w:rsid w:val="00143CA9"/>
    <w:rsid w:val="0015401E"/>
    <w:rsid w:val="00171BA3"/>
    <w:rsid w:val="00175AC1"/>
    <w:rsid w:val="001B539C"/>
    <w:rsid w:val="001D62EC"/>
    <w:rsid w:val="001F2316"/>
    <w:rsid w:val="00227D34"/>
    <w:rsid w:val="002762FF"/>
    <w:rsid w:val="00296741"/>
    <w:rsid w:val="002B0F4C"/>
    <w:rsid w:val="002B46AE"/>
    <w:rsid w:val="002B4743"/>
    <w:rsid w:val="002C422E"/>
    <w:rsid w:val="002C7663"/>
    <w:rsid w:val="002F6142"/>
    <w:rsid w:val="002F7CE1"/>
    <w:rsid w:val="00305A05"/>
    <w:rsid w:val="00316F6D"/>
    <w:rsid w:val="00357ED6"/>
    <w:rsid w:val="00364E5B"/>
    <w:rsid w:val="00386FA3"/>
    <w:rsid w:val="00390112"/>
    <w:rsid w:val="003938E6"/>
    <w:rsid w:val="003A0278"/>
    <w:rsid w:val="003E7D40"/>
    <w:rsid w:val="003F2813"/>
    <w:rsid w:val="003F3040"/>
    <w:rsid w:val="003F709E"/>
    <w:rsid w:val="00411CA6"/>
    <w:rsid w:val="00416E56"/>
    <w:rsid w:val="00437517"/>
    <w:rsid w:val="00461671"/>
    <w:rsid w:val="004B3AE7"/>
    <w:rsid w:val="004B600F"/>
    <w:rsid w:val="004D632C"/>
    <w:rsid w:val="004E268E"/>
    <w:rsid w:val="004F0CE4"/>
    <w:rsid w:val="00581779"/>
    <w:rsid w:val="00581CCC"/>
    <w:rsid w:val="005917D4"/>
    <w:rsid w:val="00593A65"/>
    <w:rsid w:val="005A0749"/>
    <w:rsid w:val="005B2762"/>
    <w:rsid w:val="005C269E"/>
    <w:rsid w:val="00621291"/>
    <w:rsid w:val="00633910"/>
    <w:rsid w:val="00650DFA"/>
    <w:rsid w:val="00660A89"/>
    <w:rsid w:val="00666173"/>
    <w:rsid w:val="00666919"/>
    <w:rsid w:val="00674816"/>
    <w:rsid w:val="0069140E"/>
    <w:rsid w:val="006A2A1D"/>
    <w:rsid w:val="0070459B"/>
    <w:rsid w:val="007118CA"/>
    <w:rsid w:val="00725CB4"/>
    <w:rsid w:val="007377AC"/>
    <w:rsid w:val="007421FA"/>
    <w:rsid w:val="00744A1F"/>
    <w:rsid w:val="00747037"/>
    <w:rsid w:val="00755F7E"/>
    <w:rsid w:val="00776DDC"/>
    <w:rsid w:val="007A4BE6"/>
    <w:rsid w:val="007B0FCD"/>
    <w:rsid w:val="007C04F9"/>
    <w:rsid w:val="007C2EEE"/>
    <w:rsid w:val="007D0C5F"/>
    <w:rsid w:val="007D60D6"/>
    <w:rsid w:val="007D782E"/>
    <w:rsid w:val="007E548B"/>
    <w:rsid w:val="007F79CB"/>
    <w:rsid w:val="008021BA"/>
    <w:rsid w:val="00840720"/>
    <w:rsid w:val="008612AF"/>
    <w:rsid w:val="008736E9"/>
    <w:rsid w:val="008753C7"/>
    <w:rsid w:val="008A2429"/>
    <w:rsid w:val="008A47C6"/>
    <w:rsid w:val="008A6439"/>
    <w:rsid w:val="008B2636"/>
    <w:rsid w:val="008D3F48"/>
    <w:rsid w:val="008D5BAF"/>
    <w:rsid w:val="008F4330"/>
    <w:rsid w:val="008F438F"/>
    <w:rsid w:val="00936DDA"/>
    <w:rsid w:val="009643E4"/>
    <w:rsid w:val="00997C83"/>
    <w:rsid w:val="009A7673"/>
    <w:rsid w:val="009B3B68"/>
    <w:rsid w:val="009B70E4"/>
    <w:rsid w:val="009C6B4D"/>
    <w:rsid w:val="009D11C9"/>
    <w:rsid w:val="009F3CC2"/>
    <w:rsid w:val="00A14CC6"/>
    <w:rsid w:val="00A27CC2"/>
    <w:rsid w:val="00A372B3"/>
    <w:rsid w:val="00A627D4"/>
    <w:rsid w:val="00A64389"/>
    <w:rsid w:val="00B020A9"/>
    <w:rsid w:val="00BC2C4F"/>
    <w:rsid w:val="00BC482E"/>
    <w:rsid w:val="00BD37F8"/>
    <w:rsid w:val="00BF0060"/>
    <w:rsid w:val="00C044C7"/>
    <w:rsid w:val="00C21B04"/>
    <w:rsid w:val="00C831B0"/>
    <w:rsid w:val="00C83D43"/>
    <w:rsid w:val="00C841C6"/>
    <w:rsid w:val="00C94047"/>
    <w:rsid w:val="00C95985"/>
    <w:rsid w:val="00CA4D2C"/>
    <w:rsid w:val="00CB15C8"/>
    <w:rsid w:val="00CD21EF"/>
    <w:rsid w:val="00CD2384"/>
    <w:rsid w:val="00CD70DA"/>
    <w:rsid w:val="00CF195D"/>
    <w:rsid w:val="00CF6EE3"/>
    <w:rsid w:val="00D00444"/>
    <w:rsid w:val="00D129DD"/>
    <w:rsid w:val="00D1550D"/>
    <w:rsid w:val="00D174A4"/>
    <w:rsid w:val="00D24E63"/>
    <w:rsid w:val="00D24E9C"/>
    <w:rsid w:val="00D55643"/>
    <w:rsid w:val="00D577BC"/>
    <w:rsid w:val="00DB3542"/>
    <w:rsid w:val="00DB5FB4"/>
    <w:rsid w:val="00DC7F76"/>
    <w:rsid w:val="00E003A0"/>
    <w:rsid w:val="00E132D0"/>
    <w:rsid w:val="00E142BE"/>
    <w:rsid w:val="00E26FA6"/>
    <w:rsid w:val="00E310B4"/>
    <w:rsid w:val="00E32712"/>
    <w:rsid w:val="00E339FA"/>
    <w:rsid w:val="00E74990"/>
    <w:rsid w:val="00E75E2C"/>
    <w:rsid w:val="00E87D4F"/>
    <w:rsid w:val="00E9566C"/>
    <w:rsid w:val="00EC75DE"/>
    <w:rsid w:val="00EF4F46"/>
    <w:rsid w:val="00F00B33"/>
    <w:rsid w:val="00F30B3F"/>
    <w:rsid w:val="00F30DE4"/>
    <w:rsid w:val="00F400C9"/>
    <w:rsid w:val="00F422B4"/>
    <w:rsid w:val="00F50DC5"/>
    <w:rsid w:val="00F7306F"/>
    <w:rsid w:val="00F748C9"/>
    <w:rsid w:val="00F76F12"/>
    <w:rsid w:val="00F91D85"/>
    <w:rsid w:val="00F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00389"/>
  <w15:chartTrackingRefBased/>
  <w15:docId w15:val="{C64D4A11-AF3B-4570-91D2-5B54A73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DFA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D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fontstyle01">
    <w:name w:val="fontstyle01"/>
    <w:basedOn w:val="DefaultParagraphFont"/>
    <w:rsid w:val="00674816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A11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1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11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1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93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8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5CB4"/>
    <w:pPr>
      <w:spacing w:after="0" w:line="240" w:lineRule="auto"/>
    </w:pPr>
  </w:style>
  <w:style w:type="table" w:styleId="TableGrid">
    <w:name w:val="Table Grid"/>
    <w:basedOn w:val="TableNormal"/>
    <w:uiPriority w:val="39"/>
    <w:rsid w:val="0071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rkljacic4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s-gospic.hr/dokumenti/obrazovanje/plano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AC86-B450-4D4A-A368-657CAFA0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2306</Words>
  <Characters>13148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Ivica Radošević</cp:lastModifiedBy>
  <cp:revision>2</cp:revision>
  <cp:lastPrinted>2021-12-29T13:22:00Z</cp:lastPrinted>
  <dcterms:created xsi:type="dcterms:W3CDTF">2025-02-28T09:03:00Z</dcterms:created>
  <dcterms:modified xsi:type="dcterms:W3CDTF">2025-02-28T09:03:00Z</dcterms:modified>
</cp:coreProperties>
</file>